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97F1F7" w14:textId="77777777" w:rsidR="00B53528" w:rsidRPr="00000576" w:rsidRDefault="00B53528" w:rsidP="00000576">
      <w:pPr>
        <w:spacing w:before="0" w:after="120" w:line="240" w:lineRule="auto"/>
        <w:jc w:val="center"/>
        <w:rPr>
          <w:rFonts w:cstheme="minorHAnsi"/>
          <w:b/>
          <w:spacing w:val="20"/>
          <w:sz w:val="22"/>
          <w:szCs w:val="22"/>
        </w:rPr>
      </w:pPr>
    </w:p>
    <w:p w14:paraId="25029EE7" w14:textId="77777777" w:rsidR="00B53528" w:rsidRPr="00000576" w:rsidRDefault="00B53528" w:rsidP="00000576">
      <w:pPr>
        <w:spacing w:before="0" w:after="120" w:line="240" w:lineRule="auto"/>
        <w:jc w:val="both"/>
        <w:rPr>
          <w:rFonts w:eastAsia="Calibri" w:cstheme="minorHAnsi"/>
          <w:spacing w:val="20"/>
          <w:sz w:val="22"/>
          <w:szCs w:val="22"/>
          <w:lang w:eastAsia="hr-HR"/>
        </w:rPr>
      </w:pPr>
    </w:p>
    <w:p w14:paraId="7096DA28" w14:textId="77777777" w:rsidR="00B53528" w:rsidRPr="00000576" w:rsidRDefault="00B53528" w:rsidP="00000576">
      <w:pPr>
        <w:spacing w:before="0" w:after="120" w:line="240" w:lineRule="auto"/>
        <w:rPr>
          <w:rFonts w:eastAsia="Times New Roman" w:cstheme="minorHAnsi"/>
          <w:spacing w:val="20"/>
          <w:sz w:val="22"/>
          <w:szCs w:val="22"/>
          <w:lang w:eastAsia="hr-HR"/>
        </w:rPr>
      </w:pPr>
      <w:r w:rsidRPr="00000576">
        <w:rPr>
          <w:rFonts w:eastAsia="Times New Roman" w:cstheme="minorHAnsi"/>
          <w:noProof/>
          <w:spacing w:val="20"/>
          <w:sz w:val="22"/>
          <w:szCs w:val="22"/>
          <w:lang w:eastAsia="hr-HR"/>
        </w:rPr>
        <w:drawing>
          <wp:anchor distT="0" distB="0" distL="114300" distR="114300" simplePos="0" relativeHeight="251659264" behindDoc="0" locked="0" layoutInCell="1" allowOverlap="1" wp14:anchorId="04C51603" wp14:editId="17EA355A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09650" cy="10096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3C335B" w14:textId="77777777" w:rsidR="00B53528" w:rsidRPr="00000576" w:rsidRDefault="00B53528" w:rsidP="00000576">
      <w:pPr>
        <w:spacing w:before="0" w:after="120" w:line="240" w:lineRule="auto"/>
        <w:rPr>
          <w:rFonts w:eastAsia="Times New Roman" w:cstheme="minorHAnsi"/>
          <w:b/>
          <w:bCs/>
          <w:spacing w:val="20"/>
          <w:sz w:val="22"/>
          <w:szCs w:val="22"/>
          <w:lang w:eastAsia="hr-HR"/>
        </w:rPr>
      </w:pPr>
    </w:p>
    <w:p w14:paraId="26FBD666" w14:textId="77777777" w:rsidR="00B53528" w:rsidRPr="00000576" w:rsidRDefault="00B53528" w:rsidP="00000576">
      <w:pPr>
        <w:spacing w:before="0" w:after="120" w:line="240" w:lineRule="auto"/>
        <w:jc w:val="center"/>
        <w:rPr>
          <w:rFonts w:eastAsia="Times New Roman" w:cstheme="minorHAnsi"/>
          <w:b/>
          <w:bCs/>
          <w:spacing w:val="20"/>
          <w:sz w:val="22"/>
          <w:szCs w:val="22"/>
          <w:lang w:eastAsia="hr-HR"/>
        </w:rPr>
      </w:pPr>
    </w:p>
    <w:p w14:paraId="5329CE80" w14:textId="77777777" w:rsidR="00B53528" w:rsidRPr="00000576" w:rsidRDefault="00B53528" w:rsidP="00000576">
      <w:pPr>
        <w:spacing w:before="0" w:after="120" w:line="240" w:lineRule="auto"/>
        <w:jc w:val="center"/>
        <w:rPr>
          <w:rFonts w:eastAsia="Times New Roman" w:cstheme="minorHAnsi"/>
          <w:color w:val="828282"/>
          <w:spacing w:val="20"/>
          <w:sz w:val="28"/>
          <w:szCs w:val="22"/>
          <w:lang w:eastAsia="hr-HR"/>
        </w:rPr>
      </w:pPr>
      <w:r w:rsidRPr="00000576">
        <w:rPr>
          <w:rFonts w:eastAsia="Times New Roman" w:cstheme="minorHAnsi"/>
          <w:b/>
          <w:bCs/>
          <w:spacing w:val="20"/>
          <w:sz w:val="28"/>
          <w:szCs w:val="22"/>
          <w:lang w:eastAsia="hr-HR"/>
        </w:rPr>
        <w:t>REPUBLIKA HRVATSKA</w:t>
      </w:r>
    </w:p>
    <w:p w14:paraId="05E3F785" w14:textId="07FA88C8" w:rsidR="00B53528" w:rsidRPr="00000576" w:rsidRDefault="00B53528" w:rsidP="00000576">
      <w:pPr>
        <w:spacing w:before="0" w:after="120" w:line="240" w:lineRule="auto"/>
        <w:jc w:val="center"/>
        <w:rPr>
          <w:rFonts w:eastAsia="Times New Roman" w:cstheme="minorHAnsi"/>
          <w:b/>
          <w:spacing w:val="20"/>
          <w:sz w:val="28"/>
          <w:szCs w:val="22"/>
          <w:lang w:eastAsia="hr-HR"/>
        </w:rPr>
      </w:pPr>
      <w:r w:rsidRPr="00000576">
        <w:rPr>
          <w:rFonts w:eastAsia="Times New Roman" w:cstheme="minorHAnsi"/>
          <w:b/>
          <w:bCs/>
          <w:spacing w:val="20"/>
          <w:sz w:val="28"/>
          <w:szCs w:val="22"/>
          <w:lang w:eastAsia="hr-HR"/>
        </w:rPr>
        <w:t>OSJEČKO – BARANJSKA ŽUPANIJA</w:t>
      </w:r>
    </w:p>
    <w:p w14:paraId="159B55D4" w14:textId="77777777" w:rsidR="00B53528" w:rsidRPr="00000576" w:rsidRDefault="00B53528" w:rsidP="00000576">
      <w:pPr>
        <w:keepNext/>
        <w:spacing w:before="0" w:after="120" w:line="240" w:lineRule="auto"/>
        <w:jc w:val="center"/>
        <w:outlineLvl w:val="1"/>
        <w:rPr>
          <w:rFonts w:eastAsia="Times New Roman" w:cstheme="minorHAnsi"/>
          <w:b/>
          <w:spacing w:val="20"/>
          <w:sz w:val="28"/>
          <w:szCs w:val="22"/>
          <w:lang w:eastAsia="hr-HR"/>
        </w:rPr>
      </w:pPr>
      <w:bookmarkStart w:id="0" w:name="_Toc71103117"/>
      <w:bookmarkStart w:id="1" w:name="_Toc114225604"/>
      <w:bookmarkStart w:id="2" w:name="_Toc144891680"/>
      <w:bookmarkStart w:id="3" w:name="_Toc208401148"/>
      <w:bookmarkStart w:id="4" w:name="_Toc209436489"/>
      <w:r w:rsidRPr="00000576">
        <w:rPr>
          <w:rFonts w:eastAsia="Times New Roman" w:cstheme="minorHAnsi"/>
          <w:b/>
          <w:spacing w:val="20"/>
          <w:sz w:val="28"/>
          <w:szCs w:val="22"/>
          <w:lang w:eastAsia="hr-HR"/>
        </w:rPr>
        <w:t>OPĆINA LEVANJSKA VAROŠ</w:t>
      </w:r>
      <w:bookmarkEnd w:id="0"/>
      <w:bookmarkEnd w:id="1"/>
      <w:bookmarkEnd w:id="2"/>
      <w:bookmarkEnd w:id="3"/>
      <w:bookmarkEnd w:id="4"/>
    </w:p>
    <w:p w14:paraId="03385573" w14:textId="77777777" w:rsidR="00B53528" w:rsidRPr="00000576" w:rsidRDefault="00B53528" w:rsidP="00000576">
      <w:pPr>
        <w:widowControl w:val="0"/>
        <w:autoSpaceDE w:val="0"/>
        <w:autoSpaceDN w:val="0"/>
        <w:spacing w:before="0" w:after="120" w:line="240" w:lineRule="auto"/>
        <w:ind w:left="216"/>
        <w:jc w:val="both"/>
        <w:rPr>
          <w:rFonts w:eastAsia="Times New Roman" w:cstheme="minorHAnsi"/>
          <w:spacing w:val="20"/>
          <w:sz w:val="22"/>
          <w:szCs w:val="22"/>
          <w:lang w:bidi="en-US"/>
        </w:rPr>
      </w:pPr>
    </w:p>
    <w:p w14:paraId="2332CF6E" w14:textId="77777777" w:rsidR="00B53528" w:rsidRPr="00000576" w:rsidRDefault="00B53528" w:rsidP="00000576">
      <w:pPr>
        <w:widowControl w:val="0"/>
        <w:autoSpaceDE w:val="0"/>
        <w:autoSpaceDN w:val="0"/>
        <w:spacing w:before="0" w:after="120" w:line="240" w:lineRule="auto"/>
        <w:ind w:left="216"/>
        <w:jc w:val="both"/>
        <w:rPr>
          <w:rFonts w:eastAsia="Times New Roman" w:cstheme="minorHAnsi"/>
          <w:spacing w:val="20"/>
          <w:sz w:val="22"/>
          <w:szCs w:val="22"/>
          <w:lang w:bidi="en-US"/>
        </w:rPr>
      </w:pPr>
    </w:p>
    <w:p w14:paraId="797B0846" w14:textId="77777777" w:rsidR="00DA6E26" w:rsidRPr="00000576" w:rsidRDefault="00DA6E26" w:rsidP="00000576">
      <w:pPr>
        <w:widowControl w:val="0"/>
        <w:autoSpaceDE w:val="0"/>
        <w:autoSpaceDN w:val="0"/>
        <w:spacing w:before="0" w:after="120" w:line="240" w:lineRule="auto"/>
        <w:ind w:left="216"/>
        <w:jc w:val="both"/>
        <w:rPr>
          <w:rFonts w:eastAsia="Times New Roman" w:cstheme="minorHAnsi"/>
          <w:spacing w:val="20"/>
          <w:sz w:val="22"/>
          <w:szCs w:val="22"/>
          <w:lang w:bidi="en-US"/>
        </w:rPr>
      </w:pPr>
    </w:p>
    <w:p w14:paraId="7FF95D3D" w14:textId="77777777" w:rsidR="00DA6E26" w:rsidRPr="00000576" w:rsidRDefault="00DA6E26" w:rsidP="00000576">
      <w:pPr>
        <w:widowControl w:val="0"/>
        <w:autoSpaceDE w:val="0"/>
        <w:autoSpaceDN w:val="0"/>
        <w:spacing w:before="0" w:after="120" w:line="240" w:lineRule="auto"/>
        <w:ind w:left="216"/>
        <w:jc w:val="both"/>
        <w:rPr>
          <w:rFonts w:eastAsia="Times New Roman" w:cstheme="minorHAnsi"/>
          <w:spacing w:val="20"/>
          <w:sz w:val="22"/>
          <w:szCs w:val="22"/>
          <w:lang w:bidi="en-US"/>
        </w:rPr>
      </w:pPr>
    </w:p>
    <w:p w14:paraId="1C7AD816" w14:textId="77777777" w:rsidR="00DA6E26" w:rsidRPr="00000576" w:rsidRDefault="00DA6E26" w:rsidP="00000576">
      <w:pPr>
        <w:widowControl w:val="0"/>
        <w:autoSpaceDE w:val="0"/>
        <w:autoSpaceDN w:val="0"/>
        <w:spacing w:before="0" w:after="120" w:line="240" w:lineRule="auto"/>
        <w:ind w:left="216"/>
        <w:jc w:val="both"/>
        <w:rPr>
          <w:rFonts w:eastAsia="Times New Roman" w:cstheme="minorHAnsi"/>
          <w:spacing w:val="20"/>
          <w:sz w:val="22"/>
          <w:szCs w:val="22"/>
          <w:lang w:bidi="en-US"/>
        </w:rPr>
      </w:pPr>
    </w:p>
    <w:p w14:paraId="2FC07F43" w14:textId="77777777" w:rsidR="00DA6E26" w:rsidRPr="00000576" w:rsidRDefault="00DA6E26" w:rsidP="00000576">
      <w:pPr>
        <w:widowControl w:val="0"/>
        <w:autoSpaceDE w:val="0"/>
        <w:autoSpaceDN w:val="0"/>
        <w:spacing w:before="0" w:after="120" w:line="240" w:lineRule="auto"/>
        <w:ind w:left="216"/>
        <w:jc w:val="both"/>
        <w:rPr>
          <w:rFonts w:eastAsia="Times New Roman" w:cstheme="minorHAnsi"/>
          <w:spacing w:val="20"/>
          <w:sz w:val="22"/>
          <w:szCs w:val="22"/>
          <w:lang w:bidi="en-US"/>
        </w:rPr>
      </w:pPr>
    </w:p>
    <w:p w14:paraId="06DEFAD2" w14:textId="77777777" w:rsidR="00DA6E26" w:rsidRPr="00000576" w:rsidRDefault="00DA6E26" w:rsidP="00000576">
      <w:pPr>
        <w:widowControl w:val="0"/>
        <w:autoSpaceDE w:val="0"/>
        <w:autoSpaceDN w:val="0"/>
        <w:spacing w:before="0" w:after="120" w:line="240" w:lineRule="auto"/>
        <w:ind w:left="216"/>
        <w:jc w:val="both"/>
        <w:rPr>
          <w:rFonts w:eastAsia="Times New Roman" w:cstheme="minorHAnsi"/>
          <w:spacing w:val="20"/>
          <w:sz w:val="22"/>
          <w:szCs w:val="22"/>
          <w:lang w:bidi="en-US"/>
        </w:rPr>
      </w:pPr>
    </w:p>
    <w:p w14:paraId="312CB077" w14:textId="77777777" w:rsidR="00B53528" w:rsidRPr="00000576" w:rsidRDefault="00B53528" w:rsidP="00000576">
      <w:pPr>
        <w:spacing w:before="0" w:after="120" w:line="240" w:lineRule="auto"/>
        <w:jc w:val="center"/>
        <w:rPr>
          <w:rFonts w:cstheme="minorHAnsi"/>
          <w:b/>
          <w:spacing w:val="24"/>
          <w:sz w:val="32"/>
          <w:szCs w:val="22"/>
        </w:rPr>
      </w:pPr>
      <w:r w:rsidRPr="00000576">
        <w:rPr>
          <w:rFonts w:cstheme="minorHAnsi"/>
          <w:b/>
          <w:spacing w:val="24"/>
          <w:sz w:val="32"/>
          <w:szCs w:val="22"/>
        </w:rPr>
        <w:t xml:space="preserve">OBRAZLOŽENJE </w:t>
      </w:r>
    </w:p>
    <w:p w14:paraId="786B902A" w14:textId="73517E42" w:rsidR="00B53528" w:rsidRPr="00000576" w:rsidRDefault="00B53528" w:rsidP="00000576">
      <w:pPr>
        <w:spacing w:before="0" w:after="120" w:line="240" w:lineRule="auto"/>
        <w:jc w:val="center"/>
        <w:rPr>
          <w:rFonts w:cstheme="minorHAnsi"/>
          <w:b/>
          <w:spacing w:val="24"/>
          <w:sz w:val="32"/>
          <w:szCs w:val="22"/>
        </w:rPr>
      </w:pPr>
      <w:r w:rsidRPr="00000576">
        <w:rPr>
          <w:rFonts w:cstheme="minorHAnsi"/>
          <w:b/>
          <w:spacing w:val="24"/>
          <w:sz w:val="32"/>
          <w:szCs w:val="22"/>
        </w:rPr>
        <w:t xml:space="preserve">UZ </w:t>
      </w:r>
      <w:r w:rsidR="009A702F">
        <w:rPr>
          <w:rFonts w:cstheme="minorHAnsi"/>
          <w:b/>
          <w:spacing w:val="24"/>
          <w:sz w:val="32"/>
          <w:szCs w:val="22"/>
        </w:rPr>
        <w:t>POLU</w:t>
      </w:r>
      <w:r w:rsidRPr="00000576">
        <w:rPr>
          <w:rFonts w:cstheme="minorHAnsi"/>
          <w:b/>
          <w:spacing w:val="24"/>
          <w:sz w:val="32"/>
          <w:szCs w:val="22"/>
        </w:rPr>
        <w:t xml:space="preserve">GODIŠNJI IZVJEŠTAJ O IZVRŠENJU PRORAČUNA </w:t>
      </w:r>
    </w:p>
    <w:p w14:paraId="5186886D" w14:textId="179CB70E" w:rsidR="00B53528" w:rsidRPr="00000576" w:rsidRDefault="00B53528" w:rsidP="00000576">
      <w:pPr>
        <w:spacing w:before="0" w:after="120" w:line="240" w:lineRule="auto"/>
        <w:jc w:val="center"/>
        <w:rPr>
          <w:rFonts w:cstheme="minorHAnsi"/>
          <w:b/>
          <w:spacing w:val="24"/>
          <w:sz w:val="32"/>
          <w:szCs w:val="22"/>
        </w:rPr>
      </w:pPr>
      <w:r w:rsidRPr="00000576">
        <w:rPr>
          <w:rFonts w:cstheme="minorHAnsi"/>
          <w:b/>
          <w:spacing w:val="24"/>
          <w:sz w:val="32"/>
          <w:szCs w:val="22"/>
        </w:rPr>
        <w:t>OPĆINE LEVANJSKA VAROŠ ZA 202</w:t>
      </w:r>
      <w:r w:rsidR="00B2523A">
        <w:rPr>
          <w:rFonts w:cstheme="minorHAnsi"/>
          <w:b/>
          <w:spacing w:val="24"/>
          <w:sz w:val="32"/>
          <w:szCs w:val="22"/>
        </w:rPr>
        <w:t>5</w:t>
      </w:r>
      <w:r w:rsidRPr="00000576">
        <w:rPr>
          <w:rFonts w:cstheme="minorHAnsi"/>
          <w:b/>
          <w:spacing w:val="24"/>
          <w:sz w:val="32"/>
          <w:szCs w:val="22"/>
        </w:rPr>
        <w:t>. GODINU</w:t>
      </w:r>
    </w:p>
    <w:p w14:paraId="3348F6B9" w14:textId="77777777" w:rsidR="00DA6E26" w:rsidRPr="00000576" w:rsidRDefault="00DA6E26" w:rsidP="00000576">
      <w:pPr>
        <w:spacing w:before="0" w:after="120"/>
        <w:rPr>
          <w:rFonts w:cstheme="minorHAnsi"/>
          <w:b/>
          <w:spacing w:val="20"/>
          <w:sz w:val="22"/>
          <w:szCs w:val="22"/>
        </w:rPr>
      </w:pPr>
    </w:p>
    <w:p w14:paraId="112DE609" w14:textId="77777777" w:rsidR="00DA6E26" w:rsidRPr="00000576" w:rsidRDefault="00DA6E26" w:rsidP="00000576">
      <w:pPr>
        <w:spacing w:before="0" w:after="120"/>
        <w:rPr>
          <w:rFonts w:cstheme="minorHAnsi"/>
          <w:b/>
          <w:spacing w:val="20"/>
          <w:sz w:val="22"/>
          <w:szCs w:val="22"/>
        </w:rPr>
      </w:pPr>
    </w:p>
    <w:p w14:paraId="28DE9E0B" w14:textId="77777777" w:rsidR="00DA6E26" w:rsidRPr="00000576" w:rsidRDefault="00DA6E26" w:rsidP="00000576">
      <w:pPr>
        <w:spacing w:before="0" w:after="120"/>
        <w:rPr>
          <w:rFonts w:cstheme="minorHAnsi"/>
          <w:b/>
          <w:spacing w:val="20"/>
          <w:sz w:val="22"/>
          <w:szCs w:val="22"/>
        </w:rPr>
      </w:pPr>
    </w:p>
    <w:p w14:paraId="7F61DD5D" w14:textId="77777777" w:rsidR="00DA6E26" w:rsidRPr="00000576" w:rsidRDefault="00DA6E26" w:rsidP="00000576">
      <w:pPr>
        <w:spacing w:before="0" w:after="120"/>
        <w:rPr>
          <w:rFonts w:cstheme="minorHAnsi"/>
          <w:b/>
          <w:spacing w:val="20"/>
          <w:sz w:val="22"/>
          <w:szCs w:val="22"/>
        </w:rPr>
      </w:pPr>
    </w:p>
    <w:p w14:paraId="30023103" w14:textId="77777777" w:rsidR="00DA6E26" w:rsidRPr="00000576" w:rsidRDefault="00DA6E26" w:rsidP="00000576">
      <w:pPr>
        <w:spacing w:before="0" w:after="120"/>
        <w:rPr>
          <w:rFonts w:cstheme="minorHAnsi"/>
          <w:b/>
          <w:spacing w:val="20"/>
          <w:sz w:val="22"/>
          <w:szCs w:val="22"/>
        </w:rPr>
      </w:pPr>
    </w:p>
    <w:p w14:paraId="5F1F095E" w14:textId="77777777" w:rsidR="00DA6E26" w:rsidRPr="00000576" w:rsidRDefault="00DA6E26" w:rsidP="00000576">
      <w:pPr>
        <w:spacing w:before="0" w:after="120"/>
        <w:rPr>
          <w:rFonts w:cstheme="minorHAnsi"/>
          <w:b/>
          <w:spacing w:val="20"/>
          <w:sz w:val="22"/>
          <w:szCs w:val="22"/>
        </w:rPr>
      </w:pPr>
    </w:p>
    <w:p w14:paraId="44B74DB7" w14:textId="77777777" w:rsidR="00DA6E26" w:rsidRPr="00000576" w:rsidRDefault="00DA6E26" w:rsidP="00000576">
      <w:pPr>
        <w:spacing w:before="0" w:after="120"/>
        <w:rPr>
          <w:rFonts w:cstheme="minorHAnsi"/>
          <w:b/>
          <w:spacing w:val="20"/>
          <w:sz w:val="22"/>
          <w:szCs w:val="22"/>
        </w:rPr>
      </w:pPr>
    </w:p>
    <w:p w14:paraId="472D34E8" w14:textId="77777777" w:rsidR="00DA6E26" w:rsidRPr="00000576" w:rsidRDefault="00DA6E26" w:rsidP="00000576">
      <w:pPr>
        <w:spacing w:before="0" w:after="120"/>
        <w:rPr>
          <w:rFonts w:cstheme="minorHAnsi"/>
          <w:b/>
          <w:spacing w:val="20"/>
          <w:sz w:val="22"/>
          <w:szCs w:val="22"/>
        </w:rPr>
      </w:pPr>
    </w:p>
    <w:p w14:paraId="2C537070" w14:textId="77777777" w:rsidR="00DA6E26" w:rsidRPr="00000576" w:rsidRDefault="00DA6E26" w:rsidP="00000576">
      <w:pPr>
        <w:spacing w:before="0" w:after="120"/>
        <w:rPr>
          <w:rFonts w:cstheme="minorHAnsi"/>
          <w:b/>
          <w:spacing w:val="20"/>
          <w:sz w:val="22"/>
          <w:szCs w:val="22"/>
        </w:rPr>
      </w:pPr>
    </w:p>
    <w:p w14:paraId="180D4F75" w14:textId="77777777" w:rsidR="00DA6E26" w:rsidRPr="00000576" w:rsidRDefault="00DA6E26" w:rsidP="00000576">
      <w:pPr>
        <w:spacing w:before="0" w:after="120"/>
        <w:rPr>
          <w:rFonts w:cstheme="minorHAnsi"/>
          <w:b/>
          <w:spacing w:val="20"/>
          <w:sz w:val="22"/>
          <w:szCs w:val="22"/>
        </w:rPr>
      </w:pPr>
    </w:p>
    <w:p w14:paraId="51ADFC04" w14:textId="77777777" w:rsidR="00DA6E26" w:rsidRPr="00000576" w:rsidRDefault="00DA6E26" w:rsidP="00000576">
      <w:pPr>
        <w:spacing w:before="0" w:after="120"/>
        <w:rPr>
          <w:rFonts w:cstheme="minorHAnsi"/>
          <w:b/>
          <w:spacing w:val="20"/>
          <w:sz w:val="22"/>
          <w:szCs w:val="22"/>
        </w:rPr>
      </w:pPr>
    </w:p>
    <w:p w14:paraId="1AAA0E5B" w14:textId="77777777" w:rsidR="00DA6E26" w:rsidRPr="00000576" w:rsidRDefault="00DA6E26" w:rsidP="00000576">
      <w:pPr>
        <w:spacing w:before="0" w:after="120"/>
        <w:rPr>
          <w:rFonts w:cstheme="minorHAnsi"/>
          <w:b/>
          <w:spacing w:val="20"/>
          <w:sz w:val="22"/>
          <w:szCs w:val="22"/>
        </w:rPr>
      </w:pPr>
    </w:p>
    <w:p w14:paraId="08F577ED" w14:textId="77777777" w:rsidR="00DA6E26" w:rsidRPr="00000576" w:rsidRDefault="00DA6E26" w:rsidP="00000576">
      <w:pPr>
        <w:spacing w:before="0" w:after="120"/>
        <w:rPr>
          <w:rFonts w:cstheme="minorHAnsi"/>
          <w:b/>
          <w:spacing w:val="20"/>
          <w:sz w:val="22"/>
          <w:szCs w:val="22"/>
        </w:rPr>
      </w:pPr>
    </w:p>
    <w:p w14:paraId="231C6716" w14:textId="696F7FC8" w:rsidR="00DA6E26" w:rsidRPr="00000576" w:rsidRDefault="00FD55B2" w:rsidP="00000576">
      <w:pPr>
        <w:spacing w:before="0" w:after="120"/>
        <w:jc w:val="center"/>
        <w:rPr>
          <w:rFonts w:cstheme="minorHAnsi"/>
          <w:b/>
          <w:spacing w:val="20"/>
          <w:sz w:val="22"/>
          <w:szCs w:val="22"/>
        </w:rPr>
      </w:pPr>
      <w:r>
        <w:rPr>
          <w:rFonts w:cstheme="minorHAnsi"/>
          <w:b/>
          <w:spacing w:val="20"/>
          <w:sz w:val="22"/>
          <w:szCs w:val="22"/>
        </w:rPr>
        <w:t>r</w:t>
      </w:r>
      <w:r w:rsidR="009A702F">
        <w:rPr>
          <w:rFonts w:cstheme="minorHAnsi"/>
          <w:b/>
          <w:spacing w:val="20"/>
          <w:sz w:val="22"/>
          <w:szCs w:val="22"/>
        </w:rPr>
        <w:t xml:space="preserve">ujan </w:t>
      </w:r>
      <w:r w:rsidR="00DA6E26" w:rsidRPr="00000576">
        <w:rPr>
          <w:rFonts w:cstheme="minorHAnsi"/>
          <w:b/>
          <w:spacing w:val="20"/>
          <w:sz w:val="22"/>
          <w:szCs w:val="22"/>
        </w:rPr>
        <w:t>202</w:t>
      </w:r>
      <w:r w:rsidR="00B2523A">
        <w:rPr>
          <w:rFonts w:cstheme="minorHAnsi"/>
          <w:b/>
          <w:spacing w:val="20"/>
          <w:sz w:val="22"/>
          <w:szCs w:val="22"/>
        </w:rPr>
        <w:t>5</w:t>
      </w:r>
      <w:r w:rsidR="00DA6E26" w:rsidRPr="00000576">
        <w:rPr>
          <w:rFonts w:cstheme="minorHAnsi"/>
          <w:b/>
          <w:spacing w:val="20"/>
          <w:sz w:val="22"/>
          <w:szCs w:val="22"/>
        </w:rPr>
        <w:t>. godine</w:t>
      </w:r>
    </w:p>
    <w:p w14:paraId="339E9E11" w14:textId="77777777" w:rsidR="00DA6E26" w:rsidRPr="00000576" w:rsidRDefault="00DA6E26" w:rsidP="00000576">
      <w:pPr>
        <w:spacing w:before="0" w:after="120"/>
        <w:jc w:val="center"/>
        <w:rPr>
          <w:rFonts w:cstheme="minorHAnsi"/>
          <w:b/>
          <w:spacing w:val="20"/>
          <w:sz w:val="22"/>
          <w:szCs w:val="22"/>
        </w:rPr>
      </w:pPr>
    </w:p>
    <w:p w14:paraId="6722C08C" w14:textId="77777777" w:rsidR="00DA6E26" w:rsidRPr="00000576" w:rsidRDefault="00DA6E26" w:rsidP="00000576">
      <w:pPr>
        <w:spacing w:before="0" w:after="120"/>
        <w:jc w:val="center"/>
        <w:rPr>
          <w:rFonts w:cstheme="minorHAnsi"/>
          <w:b/>
          <w:spacing w:val="20"/>
          <w:sz w:val="22"/>
          <w:szCs w:val="22"/>
        </w:rPr>
      </w:pPr>
    </w:p>
    <w:p w14:paraId="3B41BAEA" w14:textId="77777777" w:rsidR="00DA6E26" w:rsidRPr="00000576" w:rsidRDefault="00DA6E26" w:rsidP="00000576">
      <w:pPr>
        <w:spacing w:before="0" w:after="120"/>
        <w:jc w:val="center"/>
        <w:rPr>
          <w:rFonts w:cstheme="minorHAnsi"/>
          <w:b/>
          <w:spacing w:val="20"/>
          <w:sz w:val="22"/>
          <w:szCs w:val="22"/>
        </w:rPr>
      </w:pPr>
    </w:p>
    <w:p w14:paraId="63AC66BE" w14:textId="77777777" w:rsidR="00DA6E26" w:rsidRPr="00000576" w:rsidRDefault="00DA6E26" w:rsidP="00000576">
      <w:pPr>
        <w:spacing w:before="0" w:after="120"/>
        <w:jc w:val="center"/>
        <w:rPr>
          <w:rFonts w:cstheme="minorHAnsi"/>
          <w:b/>
          <w:spacing w:val="20"/>
          <w:sz w:val="22"/>
          <w:szCs w:val="22"/>
        </w:rPr>
      </w:pPr>
    </w:p>
    <w:sdt>
      <w:sdtPr>
        <w:rPr>
          <w:caps w:val="0"/>
          <w:color w:val="auto"/>
          <w:spacing w:val="0"/>
          <w:sz w:val="20"/>
          <w:szCs w:val="20"/>
        </w:rPr>
        <w:id w:val="-208796851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D98371E" w14:textId="77777777" w:rsidR="005354CF" w:rsidRDefault="00781E6C" w:rsidP="00D260F6">
          <w:pPr>
            <w:pStyle w:val="TOCNaslov"/>
            <w:spacing w:before="0"/>
            <w:rPr>
              <w:noProof/>
            </w:rPr>
          </w:pPr>
          <w:r w:rsidRPr="00781E6C">
            <w:rPr>
              <w:b/>
              <w:sz w:val="28"/>
            </w:rPr>
            <w:t>SADRŽAJ</w:t>
          </w:r>
          <w:r>
            <w:rPr>
              <w:b/>
              <w:bCs/>
              <w:noProof/>
            </w:rPr>
            <w:fldChar w:fldCharType="begin"/>
          </w:r>
          <w:r>
            <w:rPr>
              <w:b/>
              <w:bCs/>
              <w:noProof/>
            </w:rPr>
            <w:instrText xml:space="preserve"> TOC \o "1-3" \h \z \u </w:instrText>
          </w:r>
          <w:r>
            <w:rPr>
              <w:b/>
              <w:bCs/>
              <w:noProof/>
            </w:rPr>
            <w:fldChar w:fldCharType="separate"/>
          </w:r>
        </w:p>
        <w:p w14:paraId="5BE33177" w14:textId="79C865FE" w:rsidR="005354CF" w:rsidRPr="005354CF" w:rsidRDefault="005354CF">
          <w:pPr>
            <w:pStyle w:val="Sadraj1"/>
            <w:rPr>
              <w:rFonts w:cstheme="minorHAnsi"/>
              <w:noProof/>
              <w:sz w:val="22"/>
              <w:szCs w:val="22"/>
              <w:lang w:val="hr-HR" w:eastAsia="hr-HR"/>
            </w:rPr>
          </w:pPr>
          <w:hyperlink w:anchor="_Toc209436490" w:history="1">
            <w:r w:rsidRPr="005354CF">
              <w:rPr>
                <w:rStyle w:val="Hiperveza"/>
                <w:rFonts w:cstheme="minorHAnsi"/>
                <w:b/>
                <w:noProof/>
                <w:sz w:val="22"/>
                <w:szCs w:val="22"/>
              </w:rPr>
              <w:t>1.</w:t>
            </w:r>
            <w:r w:rsidRPr="005354CF">
              <w:rPr>
                <w:rFonts w:cstheme="minorHAnsi"/>
                <w:noProof/>
                <w:sz w:val="22"/>
                <w:szCs w:val="22"/>
                <w:lang w:val="hr-HR" w:eastAsia="hr-HR"/>
              </w:rPr>
              <w:tab/>
            </w:r>
            <w:r w:rsidRPr="005354CF">
              <w:rPr>
                <w:rStyle w:val="Hiperveza"/>
                <w:rFonts w:cstheme="minorHAnsi"/>
                <w:b/>
                <w:noProof/>
                <w:sz w:val="22"/>
                <w:szCs w:val="22"/>
              </w:rPr>
              <w:t>UVOD</w:t>
            </w:r>
            <w:r w:rsidRPr="005354CF">
              <w:rPr>
                <w:rFonts w:cstheme="minorHAnsi"/>
                <w:noProof/>
                <w:webHidden/>
                <w:sz w:val="22"/>
                <w:szCs w:val="22"/>
              </w:rPr>
              <w:tab/>
            </w:r>
            <w:r w:rsidRPr="005354CF">
              <w:rPr>
                <w:rFonts w:cstheme="minorHAnsi"/>
                <w:noProof/>
                <w:webHidden/>
                <w:sz w:val="22"/>
                <w:szCs w:val="22"/>
              </w:rPr>
              <w:fldChar w:fldCharType="begin"/>
            </w:r>
            <w:r w:rsidRPr="005354CF">
              <w:rPr>
                <w:rFonts w:cstheme="minorHAnsi"/>
                <w:noProof/>
                <w:webHidden/>
                <w:sz w:val="22"/>
                <w:szCs w:val="22"/>
              </w:rPr>
              <w:instrText xml:space="preserve"> PAGEREF _Toc209436490 \h </w:instrText>
            </w:r>
            <w:r w:rsidRPr="005354CF">
              <w:rPr>
                <w:rFonts w:cstheme="minorHAnsi"/>
                <w:noProof/>
                <w:webHidden/>
                <w:sz w:val="22"/>
                <w:szCs w:val="22"/>
              </w:rPr>
            </w:r>
            <w:r w:rsidRPr="005354CF">
              <w:rPr>
                <w:rFonts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5354CF">
              <w:rPr>
                <w:rFonts w:cstheme="minorHAnsi"/>
                <w:noProof/>
                <w:webHidden/>
                <w:sz w:val="22"/>
                <w:szCs w:val="22"/>
              </w:rPr>
              <w:t>3</w:t>
            </w:r>
            <w:r w:rsidRPr="005354CF">
              <w:rPr>
                <w:rFonts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5ED8F67" w14:textId="09D91E55" w:rsidR="005354CF" w:rsidRPr="005354CF" w:rsidRDefault="005354CF">
          <w:pPr>
            <w:pStyle w:val="Sadraj1"/>
            <w:rPr>
              <w:rFonts w:cstheme="minorHAnsi"/>
              <w:noProof/>
              <w:sz w:val="22"/>
              <w:szCs w:val="22"/>
              <w:lang w:val="hr-HR" w:eastAsia="hr-HR"/>
            </w:rPr>
          </w:pPr>
          <w:hyperlink w:anchor="_Toc209436491" w:history="1">
            <w:r w:rsidRPr="005354CF">
              <w:rPr>
                <w:rStyle w:val="Hiperveza"/>
                <w:rFonts w:cstheme="minorHAnsi"/>
                <w:b/>
                <w:noProof/>
                <w:sz w:val="22"/>
                <w:szCs w:val="22"/>
              </w:rPr>
              <w:t>2.</w:t>
            </w:r>
            <w:r w:rsidRPr="005354CF">
              <w:rPr>
                <w:rFonts w:cstheme="minorHAnsi"/>
                <w:noProof/>
                <w:sz w:val="22"/>
                <w:szCs w:val="22"/>
                <w:lang w:val="hr-HR" w:eastAsia="hr-HR"/>
              </w:rPr>
              <w:tab/>
            </w:r>
            <w:r w:rsidRPr="005354CF">
              <w:rPr>
                <w:rStyle w:val="Hiperveza"/>
                <w:rFonts w:cstheme="minorHAnsi"/>
                <w:b/>
                <w:noProof/>
                <w:sz w:val="22"/>
                <w:szCs w:val="22"/>
              </w:rPr>
              <w:t>OBRAZLOŽENJE OPĆEG DIJELA POLUGODIŠNJEG IZVJEŠTAJA O IZVRŠENJU PRORAČUNA</w:t>
            </w:r>
            <w:r w:rsidRPr="005354CF">
              <w:rPr>
                <w:rFonts w:cstheme="minorHAnsi"/>
                <w:noProof/>
                <w:webHidden/>
                <w:sz w:val="22"/>
                <w:szCs w:val="22"/>
              </w:rPr>
              <w:tab/>
            </w:r>
            <w:r w:rsidRPr="005354CF">
              <w:rPr>
                <w:rFonts w:cstheme="minorHAnsi"/>
                <w:noProof/>
                <w:webHidden/>
                <w:sz w:val="22"/>
                <w:szCs w:val="22"/>
              </w:rPr>
              <w:fldChar w:fldCharType="begin"/>
            </w:r>
            <w:r w:rsidRPr="005354CF">
              <w:rPr>
                <w:rFonts w:cstheme="minorHAnsi"/>
                <w:noProof/>
                <w:webHidden/>
                <w:sz w:val="22"/>
                <w:szCs w:val="22"/>
              </w:rPr>
              <w:instrText xml:space="preserve"> PAGEREF _Toc209436491 \h </w:instrText>
            </w:r>
            <w:r w:rsidRPr="005354CF">
              <w:rPr>
                <w:rFonts w:cstheme="minorHAnsi"/>
                <w:noProof/>
                <w:webHidden/>
                <w:sz w:val="22"/>
                <w:szCs w:val="22"/>
              </w:rPr>
            </w:r>
            <w:r w:rsidRPr="005354CF">
              <w:rPr>
                <w:rFonts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5354CF">
              <w:rPr>
                <w:rFonts w:cstheme="minorHAnsi"/>
                <w:noProof/>
                <w:webHidden/>
                <w:sz w:val="22"/>
                <w:szCs w:val="22"/>
              </w:rPr>
              <w:t>3</w:t>
            </w:r>
            <w:r w:rsidRPr="005354CF">
              <w:rPr>
                <w:rFonts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5A32ED8" w14:textId="199D0425" w:rsidR="005354CF" w:rsidRPr="005354CF" w:rsidRDefault="005354CF">
          <w:pPr>
            <w:pStyle w:val="Sadraj2"/>
            <w:rPr>
              <w:rFonts w:cstheme="minorHAnsi"/>
              <w:noProof/>
              <w:sz w:val="22"/>
              <w:szCs w:val="22"/>
              <w:lang w:val="hr-HR" w:eastAsia="hr-HR"/>
            </w:rPr>
          </w:pPr>
          <w:hyperlink w:anchor="_Toc209436492" w:history="1">
            <w:r w:rsidRPr="005354CF">
              <w:rPr>
                <w:rStyle w:val="Hiperveza"/>
                <w:rFonts w:cstheme="minorHAnsi"/>
                <w:b/>
                <w:noProof/>
                <w:sz w:val="22"/>
                <w:szCs w:val="22"/>
              </w:rPr>
              <w:t>2.1.</w:t>
            </w:r>
            <w:r w:rsidRPr="005354CF">
              <w:rPr>
                <w:rFonts w:cstheme="minorHAnsi"/>
                <w:noProof/>
                <w:sz w:val="22"/>
                <w:szCs w:val="22"/>
                <w:lang w:val="hr-HR" w:eastAsia="hr-HR"/>
              </w:rPr>
              <w:tab/>
            </w:r>
            <w:r w:rsidRPr="005354CF">
              <w:rPr>
                <w:rStyle w:val="Hiperveza"/>
                <w:rFonts w:cstheme="minorHAnsi"/>
                <w:b/>
                <w:noProof/>
                <w:sz w:val="22"/>
                <w:szCs w:val="22"/>
              </w:rPr>
              <w:t>PRIHODI I PRIMICI</w:t>
            </w:r>
            <w:r w:rsidRPr="005354CF">
              <w:rPr>
                <w:rFonts w:cstheme="minorHAnsi"/>
                <w:noProof/>
                <w:webHidden/>
                <w:sz w:val="22"/>
                <w:szCs w:val="22"/>
              </w:rPr>
              <w:tab/>
            </w:r>
            <w:r w:rsidRPr="005354CF">
              <w:rPr>
                <w:rFonts w:cstheme="minorHAnsi"/>
                <w:noProof/>
                <w:webHidden/>
                <w:sz w:val="22"/>
                <w:szCs w:val="22"/>
              </w:rPr>
              <w:fldChar w:fldCharType="begin"/>
            </w:r>
            <w:r w:rsidRPr="005354CF">
              <w:rPr>
                <w:rFonts w:cstheme="minorHAnsi"/>
                <w:noProof/>
                <w:webHidden/>
                <w:sz w:val="22"/>
                <w:szCs w:val="22"/>
              </w:rPr>
              <w:instrText xml:space="preserve"> PAGEREF _Toc209436492 \h </w:instrText>
            </w:r>
            <w:r w:rsidRPr="005354CF">
              <w:rPr>
                <w:rFonts w:cstheme="minorHAnsi"/>
                <w:noProof/>
                <w:webHidden/>
                <w:sz w:val="22"/>
                <w:szCs w:val="22"/>
              </w:rPr>
            </w:r>
            <w:r w:rsidRPr="005354CF">
              <w:rPr>
                <w:rFonts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5354CF">
              <w:rPr>
                <w:rFonts w:cstheme="minorHAnsi"/>
                <w:noProof/>
                <w:webHidden/>
                <w:sz w:val="22"/>
                <w:szCs w:val="22"/>
              </w:rPr>
              <w:t>4</w:t>
            </w:r>
            <w:r w:rsidRPr="005354CF">
              <w:rPr>
                <w:rFonts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048F8CD" w14:textId="45D9839E" w:rsidR="005354CF" w:rsidRPr="005354CF" w:rsidRDefault="005354CF">
          <w:pPr>
            <w:pStyle w:val="Sadraj3"/>
            <w:rPr>
              <w:rFonts w:cstheme="minorHAnsi"/>
              <w:szCs w:val="22"/>
              <w:lang w:val="hr-HR" w:eastAsia="hr-HR"/>
            </w:rPr>
          </w:pPr>
          <w:hyperlink w:anchor="_Toc209436493" w:history="1">
            <w:r w:rsidRPr="005354CF">
              <w:rPr>
                <w:rStyle w:val="Hiperveza"/>
                <w:rFonts w:cstheme="minorHAnsi"/>
                <w:szCs w:val="22"/>
              </w:rPr>
              <w:t>2.1.1.</w:t>
            </w:r>
            <w:r w:rsidRPr="005354CF">
              <w:rPr>
                <w:rFonts w:cstheme="minorHAnsi"/>
                <w:szCs w:val="22"/>
                <w:lang w:val="hr-HR" w:eastAsia="hr-HR"/>
              </w:rPr>
              <w:tab/>
            </w:r>
            <w:r w:rsidRPr="005354CF">
              <w:rPr>
                <w:rStyle w:val="Hiperveza"/>
                <w:rFonts w:cstheme="minorHAnsi"/>
                <w:szCs w:val="22"/>
              </w:rPr>
              <w:t>Prihodi od poreza</w:t>
            </w:r>
            <w:r w:rsidRPr="005354CF">
              <w:rPr>
                <w:rFonts w:cstheme="minorHAnsi"/>
                <w:webHidden/>
                <w:szCs w:val="22"/>
              </w:rPr>
              <w:tab/>
            </w:r>
            <w:r w:rsidRPr="005354CF">
              <w:rPr>
                <w:rFonts w:cstheme="minorHAnsi"/>
                <w:webHidden/>
                <w:szCs w:val="22"/>
              </w:rPr>
              <w:fldChar w:fldCharType="begin"/>
            </w:r>
            <w:r w:rsidRPr="005354CF">
              <w:rPr>
                <w:rFonts w:cstheme="minorHAnsi"/>
                <w:webHidden/>
                <w:szCs w:val="22"/>
              </w:rPr>
              <w:instrText xml:space="preserve"> PAGEREF _Toc209436493 \h </w:instrText>
            </w:r>
            <w:r w:rsidRPr="005354CF">
              <w:rPr>
                <w:rFonts w:cstheme="minorHAnsi"/>
                <w:webHidden/>
                <w:szCs w:val="22"/>
              </w:rPr>
            </w:r>
            <w:r w:rsidRPr="005354CF">
              <w:rPr>
                <w:rFonts w:cstheme="minorHAnsi"/>
                <w:webHidden/>
                <w:szCs w:val="22"/>
              </w:rPr>
              <w:fldChar w:fldCharType="separate"/>
            </w:r>
            <w:r w:rsidRPr="005354CF">
              <w:rPr>
                <w:rFonts w:cstheme="minorHAnsi"/>
                <w:webHidden/>
                <w:szCs w:val="22"/>
              </w:rPr>
              <w:t>4</w:t>
            </w:r>
            <w:r w:rsidRPr="005354CF">
              <w:rPr>
                <w:rFonts w:cstheme="minorHAnsi"/>
                <w:webHidden/>
                <w:szCs w:val="22"/>
              </w:rPr>
              <w:fldChar w:fldCharType="end"/>
            </w:r>
          </w:hyperlink>
        </w:p>
        <w:p w14:paraId="5A7D8C57" w14:textId="2540EAB8" w:rsidR="005354CF" w:rsidRPr="005354CF" w:rsidRDefault="005354CF">
          <w:pPr>
            <w:pStyle w:val="Sadraj3"/>
            <w:rPr>
              <w:rFonts w:cstheme="minorHAnsi"/>
              <w:szCs w:val="22"/>
              <w:lang w:val="hr-HR" w:eastAsia="hr-HR"/>
            </w:rPr>
          </w:pPr>
          <w:hyperlink w:anchor="_Toc209436494" w:history="1">
            <w:r w:rsidRPr="005354CF">
              <w:rPr>
                <w:rStyle w:val="Hiperveza"/>
                <w:rFonts w:cstheme="minorHAnsi"/>
                <w:szCs w:val="22"/>
              </w:rPr>
              <w:t>2.1.2.</w:t>
            </w:r>
            <w:r w:rsidRPr="005354CF">
              <w:rPr>
                <w:rFonts w:cstheme="minorHAnsi"/>
                <w:szCs w:val="22"/>
                <w:lang w:val="hr-HR" w:eastAsia="hr-HR"/>
              </w:rPr>
              <w:tab/>
            </w:r>
            <w:r w:rsidRPr="005354CF">
              <w:rPr>
                <w:rStyle w:val="Hiperveza"/>
                <w:rFonts w:cstheme="minorHAnsi"/>
                <w:szCs w:val="22"/>
              </w:rPr>
              <w:t>Pomoći iz inozemstva i od subjekata unutar općeg proračuna</w:t>
            </w:r>
            <w:r w:rsidRPr="005354CF">
              <w:rPr>
                <w:rFonts w:cstheme="minorHAnsi"/>
                <w:webHidden/>
                <w:szCs w:val="22"/>
              </w:rPr>
              <w:tab/>
            </w:r>
            <w:r w:rsidRPr="005354CF">
              <w:rPr>
                <w:rFonts w:cstheme="minorHAnsi"/>
                <w:webHidden/>
                <w:szCs w:val="22"/>
              </w:rPr>
              <w:fldChar w:fldCharType="begin"/>
            </w:r>
            <w:r w:rsidRPr="005354CF">
              <w:rPr>
                <w:rFonts w:cstheme="minorHAnsi"/>
                <w:webHidden/>
                <w:szCs w:val="22"/>
              </w:rPr>
              <w:instrText xml:space="preserve"> PAGEREF _Toc209436494 \h </w:instrText>
            </w:r>
            <w:r w:rsidRPr="005354CF">
              <w:rPr>
                <w:rFonts w:cstheme="minorHAnsi"/>
                <w:webHidden/>
                <w:szCs w:val="22"/>
              </w:rPr>
            </w:r>
            <w:r w:rsidRPr="005354CF">
              <w:rPr>
                <w:rFonts w:cstheme="minorHAnsi"/>
                <w:webHidden/>
                <w:szCs w:val="22"/>
              </w:rPr>
              <w:fldChar w:fldCharType="separate"/>
            </w:r>
            <w:r w:rsidRPr="005354CF">
              <w:rPr>
                <w:rFonts w:cstheme="minorHAnsi"/>
                <w:webHidden/>
                <w:szCs w:val="22"/>
              </w:rPr>
              <w:t>5</w:t>
            </w:r>
            <w:r w:rsidRPr="005354CF">
              <w:rPr>
                <w:rFonts w:cstheme="minorHAnsi"/>
                <w:webHidden/>
                <w:szCs w:val="22"/>
              </w:rPr>
              <w:fldChar w:fldCharType="end"/>
            </w:r>
          </w:hyperlink>
        </w:p>
        <w:p w14:paraId="1D7DC478" w14:textId="6A370360" w:rsidR="005354CF" w:rsidRPr="005354CF" w:rsidRDefault="005354CF">
          <w:pPr>
            <w:pStyle w:val="Sadraj3"/>
            <w:rPr>
              <w:rFonts w:cstheme="minorHAnsi"/>
              <w:szCs w:val="22"/>
              <w:lang w:val="hr-HR" w:eastAsia="hr-HR"/>
            </w:rPr>
          </w:pPr>
          <w:hyperlink w:anchor="_Toc209436495" w:history="1">
            <w:r w:rsidRPr="005354CF">
              <w:rPr>
                <w:rStyle w:val="Hiperveza"/>
                <w:rFonts w:cstheme="minorHAnsi"/>
                <w:szCs w:val="22"/>
              </w:rPr>
              <w:t>2.1.3.</w:t>
            </w:r>
            <w:r w:rsidRPr="005354CF">
              <w:rPr>
                <w:rFonts w:cstheme="minorHAnsi"/>
                <w:szCs w:val="22"/>
                <w:lang w:val="hr-HR" w:eastAsia="hr-HR"/>
              </w:rPr>
              <w:tab/>
            </w:r>
            <w:r w:rsidRPr="005354CF">
              <w:rPr>
                <w:rStyle w:val="Hiperveza"/>
                <w:rFonts w:cstheme="minorHAnsi"/>
                <w:szCs w:val="22"/>
              </w:rPr>
              <w:t>Prihodi od imovine</w:t>
            </w:r>
            <w:r w:rsidRPr="005354CF">
              <w:rPr>
                <w:rFonts w:cstheme="minorHAnsi"/>
                <w:webHidden/>
                <w:szCs w:val="22"/>
              </w:rPr>
              <w:tab/>
            </w:r>
            <w:r w:rsidRPr="005354CF">
              <w:rPr>
                <w:rFonts w:cstheme="minorHAnsi"/>
                <w:webHidden/>
                <w:szCs w:val="22"/>
              </w:rPr>
              <w:fldChar w:fldCharType="begin"/>
            </w:r>
            <w:r w:rsidRPr="005354CF">
              <w:rPr>
                <w:rFonts w:cstheme="minorHAnsi"/>
                <w:webHidden/>
                <w:szCs w:val="22"/>
              </w:rPr>
              <w:instrText xml:space="preserve"> PAGEREF _Toc209436495 \h </w:instrText>
            </w:r>
            <w:r w:rsidRPr="005354CF">
              <w:rPr>
                <w:rFonts w:cstheme="minorHAnsi"/>
                <w:webHidden/>
                <w:szCs w:val="22"/>
              </w:rPr>
            </w:r>
            <w:r w:rsidRPr="005354CF">
              <w:rPr>
                <w:rFonts w:cstheme="minorHAnsi"/>
                <w:webHidden/>
                <w:szCs w:val="22"/>
              </w:rPr>
              <w:fldChar w:fldCharType="separate"/>
            </w:r>
            <w:r w:rsidRPr="005354CF">
              <w:rPr>
                <w:rFonts w:cstheme="minorHAnsi"/>
                <w:webHidden/>
                <w:szCs w:val="22"/>
              </w:rPr>
              <w:t>5</w:t>
            </w:r>
            <w:r w:rsidRPr="005354CF">
              <w:rPr>
                <w:rFonts w:cstheme="minorHAnsi"/>
                <w:webHidden/>
                <w:szCs w:val="22"/>
              </w:rPr>
              <w:fldChar w:fldCharType="end"/>
            </w:r>
          </w:hyperlink>
        </w:p>
        <w:p w14:paraId="7CE6E16B" w14:textId="72B26280" w:rsidR="005354CF" w:rsidRPr="005354CF" w:rsidRDefault="005354CF">
          <w:pPr>
            <w:pStyle w:val="Sadraj3"/>
            <w:rPr>
              <w:rFonts w:cstheme="minorHAnsi"/>
              <w:szCs w:val="22"/>
              <w:lang w:val="hr-HR" w:eastAsia="hr-HR"/>
            </w:rPr>
          </w:pPr>
          <w:hyperlink w:anchor="_Toc209436496" w:history="1">
            <w:r w:rsidRPr="005354CF">
              <w:rPr>
                <w:rStyle w:val="Hiperveza"/>
                <w:rFonts w:cstheme="minorHAnsi"/>
                <w:szCs w:val="22"/>
              </w:rPr>
              <w:t>2.1.4.</w:t>
            </w:r>
            <w:r w:rsidRPr="005354CF">
              <w:rPr>
                <w:rFonts w:cstheme="minorHAnsi"/>
                <w:szCs w:val="22"/>
                <w:lang w:val="hr-HR" w:eastAsia="hr-HR"/>
              </w:rPr>
              <w:tab/>
            </w:r>
            <w:r w:rsidRPr="005354CF">
              <w:rPr>
                <w:rStyle w:val="Hiperveza"/>
                <w:rFonts w:cstheme="minorHAnsi"/>
                <w:szCs w:val="22"/>
              </w:rPr>
              <w:t>Prihodi od upravnih i administrativnih pristojbi, pristojbi posebnim propisima i naknadama</w:t>
            </w:r>
            <w:r w:rsidRPr="005354CF">
              <w:rPr>
                <w:rFonts w:cstheme="minorHAnsi"/>
                <w:webHidden/>
                <w:szCs w:val="22"/>
              </w:rPr>
              <w:tab/>
            </w:r>
            <w:r w:rsidRPr="005354CF">
              <w:rPr>
                <w:rFonts w:cstheme="minorHAnsi"/>
                <w:webHidden/>
                <w:szCs w:val="22"/>
              </w:rPr>
              <w:fldChar w:fldCharType="begin"/>
            </w:r>
            <w:r w:rsidRPr="005354CF">
              <w:rPr>
                <w:rFonts w:cstheme="minorHAnsi"/>
                <w:webHidden/>
                <w:szCs w:val="22"/>
              </w:rPr>
              <w:instrText xml:space="preserve"> PAGEREF _Toc209436496 \h </w:instrText>
            </w:r>
            <w:r w:rsidRPr="005354CF">
              <w:rPr>
                <w:rFonts w:cstheme="minorHAnsi"/>
                <w:webHidden/>
                <w:szCs w:val="22"/>
              </w:rPr>
            </w:r>
            <w:r w:rsidRPr="005354CF">
              <w:rPr>
                <w:rFonts w:cstheme="minorHAnsi"/>
                <w:webHidden/>
                <w:szCs w:val="22"/>
              </w:rPr>
              <w:fldChar w:fldCharType="separate"/>
            </w:r>
            <w:r w:rsidRPr="005354CF">
              <w:rPr>
                <w:rFonts w:cstheme="minorHAnsi"/>
                <w:webHidden/>
                <w:szCs w:val="22"/>
              </w:rPr>
              <w:t>6</w:t>
            </w:r>
            <w:r w:rsidRPr="005354CF">
              <w:rPr>
                <w:rFonts w:cstheme="minorHAnsi"/>
                <w:webHidden/>
                <w:szCs w:val="22"/>
              </w:rPr>
              <w:fldChar w:fldCharType="end"/>
            </w:r>
          </w:hyperlink>
        </w:p>
        <w:p w14:paraId="4062BE0E" w14:textId="589EA2BF" w:rsidR="005354CF" w:rsidRPr="005354CF" w:rsidRDefault="005354CF">
          <w:pPr>
            <w:pStyle w:val="Sadraj3"/>
            <w:rPr>
              <w:rFonts w:cstheme="minorHAnsi"/>
              <w:szCs w:val="22"/>
              <w:lang w:val="hr-HR" w:eastAsia="hr-HR"/>
            </w:rPr>
          </w:pPr>
          <w:hyperlink w:anchor="_Toc209436497" w:history="1">
            <w:r w:rsidRPr="005354CF">
              <w:rPr>
                <w:rStyle w:val="Hiperveza"/>
                <w:rFonts w:cstheme="minorHAnsi"/>
                <w:szCs w:val="22"/>
              </w:rPr>
              <w:t>2.1.5.</w:t>
            </w:r>
            <w:r w:rsidRPr="005354CF">
              <w:rPr>
                <w:rFonts w:cstheme="minorHAnsi"/>
                <w:szCs w:val="22"/>
                <w:lang w:val="hr-HR" w:eastAsia="hr-HR"/>
              </w:rPr>
              <w:tab/>
            </w:r>
            <w:r w:rsidRPr="005354CF">
              <w:rPr>
                <w:rStyle w:val="Hiperveza"/>
                <w:rFonts w:cstheme="minorHAnsi"/>
                <w:szCs w:val="22"/>
              </w:rPr>
              <w:t>Kazne, upravne mjere i ostali prihodi</w:t>
            </w:r>
            <w:r w:rsidRPr="005354CF">
              <w:rPr>
                <w:rFonts w:cstheme="minorHAnsi"/>
                <w:webHidden/>
                <w:szCs w:val="22"/>
              </w:rPr>
              <w:tab/>
            </w:r>
            <w:r w:rsidRPr="005354CF">
              <w:rPr>
                <w:rFonts w:cstheme="minorHAnsi"/>
                <w:webHidden/>
                <w:szCs w:val="22"/>
              </w:rPr>
              <w:fldChar w:fldCharType="begin"/>
            </w:r>
            <w:r w:rsidRPr="005354CF">
              <w:rPr>
                <w:rFonts w:cstheme="minorHAnsi"/>
                <w:webHidden/>
                <w:szCs w:val="22"/>
              </w:rPr>
              <w:instrText xml:space="preserve"> PAGEREF _Toc209436497 \h </w:instrText>
            </w:r>
            <w:r w:rsidRPr="005354CF">
              <w:rPr>
                <w:rFonts w:cstheme="minorHAnsi"/>
                <w:webHidden/>
                <w:szCs w:val="22"/>
              </w:rPr>
            </w:r>
            <w:r w:rsidRPr="005354CF">
              <w:rPr>
                <w:rFonts w:cstheme="minorHAnsi"/>
                <w:webHidden/>
                <w:szCs w:val="22"/>
              </w:rPr>
              <w:fldChar w:fldCharType="separate"/>
            </w:r>
            <w:r w:rsidRPr="005354CF">
              <w:rPr>
                <w:rFonts w:cstheme="minorHAnsi"/>
                <w:webHidden/>
                <w:szCs w:val="22"/>
              </w:rPr>
              <w:t>6</w:t>
            </w:r>
            <w:r w:rsidRPr="005354CF">
              <w:rPr>
                <w:rFonts w:cstheme="minorHAnsi"/>
                <w:webHidden/>
                <w:szCs w:val="22"/>
              </w:rPr>
              <w:fldChar w:fldCharType="end"/>
            </w:r>
          </w:hyperlink>
        </w:p>
        <w:p w14:paraId="2722066A" w14:textId="551E8814" w:rsidR="005354CF" w:rsidRPr="005354CF" w:rsidRDefault="005354CF">
          <w:pPr>
            <w:pStyle w:val="Sadraj3"/>
            <w:rPr>
              <w:rFonts w:cstheme="minorHAnsi"/>
              <w:szCs w:val="22"/>
              <w:lang w:val="hr-HR" w:eastAsia="hr-HR"/>
            </w:rPr>
          </w:pPr>
          <w:hyperlink w:anchor="_Toc209436498" w:history="1">
            <w:r w:rsidRPr="005354CF">
              <w:rPr>
                <w:rStyle w:val="Hiperveza"/>
                <w:rFonts w:cstheme="minorHAnsi"/>
                <w:szCs w:val="22"/>
              </w:rPr>
              <w:t>2.1.6.</w:t>
            </w:r>
            <w:r w:rsidRPr="005354CF">
              <w:rPr>
                <w:rFonts w:cstheme="minorHAnsi"/>
                <w:szCs w:val="22"/>
                <w:lang w:val="hr-HR" w:eastAsia="hr-HR"/>
              </w:rPr>
              <w:tab/>
            </w:r>
            <w:r w:rsidRPr="005354CF">
              <w:rPr>
                <w:rStyle w:val="Hiperveza"/>
                <w:rFonts w:cstheme="minorHAnsi"/>
                <w:szCs w:val="22"/>
              </w:rPr>
              <w:t>Prihodi od prodaje nefinancijske imovine</w:t>
            </w:r>
            <w:r w:rsidRPr="005354CF">
              <w:rPr>
                <w:rFonts w:cstheme="minorHAnsi"/>
                <w:webHidden/>
                <w:szCs w:val="22"/>
              </w:rPr>
              <w:tab/>
            </w:r>
            <w:r w:rsidRPr="005354CF">
              <w:rPr>
                <w:rFonts w:cstheme="minorHAnsi"/>
                <w:webHidden/>
                <w:szCs w:val="22"/>
              </w:rPr>
              <w:fldChar w:fldCharType="begin"/>
            </w:r>
            <w:r w:rsidRPr="005354CF">
              <w:rPr>
                <w:rFonts w:cstheme="minorHAnsi"/>
                <w:webHidden/>
                <w:szCs w:val="22"/>
              </w:rPr>
              <w:instrText xml:space="preserve"> PAGEREF _Toc209436498 \h </w:instrText>
            </w:r>
            <w:r w:rsidRPr="005354CF">
              <w:rPr>
                <w:rFonts w:cstheme="minorHAnsi"/>
                <w:webHidden/>
                <w:szCs w:val="22"/>
              </w:rPr>
            </w:r>
            <w:r w:rsidRPr="005354CF">
              <w:rPr>
                <w:rFonts w:cstheme="minorHAnsi"/>
                <w:webHidden/>
                <w:szCs w:val="22"/>
              </w:rPr>
              <w:fldChar w:fldCharType="separate"/>
            </w:r>
            <w:r w:rsidRPr="005354CF">
              <w:rPr>
                <w:rFonts w:cstheme="minorHAnsi"/>
                <w:webHidden/>
                <w:szCs w:val="22"/>
              </w:rPr>
              <w:t>6</w:t>
            </w:r>
            <w:r w:rsidRPr="005354CF">
              <w:rPr>
                <w:rFonts w:cstheme="minorHAnsi"/>
                <w:webHidden/>
                <w:szCs w:val="22"/>
              </w:rPr>
              <w:fldChar w:fldCharType="end"/>
            </w:r>
          </w:hyperlink>
        </w:p>
        <w:p w14:paraId="5F5CD67D" w14:textId="2ACB63EF" w:rsidR="005354CF" w:rsidRPr="005354CF" w:rsidRDefault="005354CF">
          <w:pPr>
            <w:pStyle w:val="Sadraj3"/>
            <w:rPr>
              <w:rFonts w:cstheme="minorHAnsi"/>
              <w:szCs w:val="22"/>
              <w:lang w:val="hr-HR" w:eastAsia="hr-HR"/>
            </w:rPr>
          </w:pPr>
          <w:hyperlink w:anchor="_Toc209436499" w:history="1">
            <w:r w:rsidRPr="005354CF">
              <w:rPr>
                <w:rStyle w:val="Hiperveza"/>
                <w:rFonts w:cstheme="minorHAnsi"/>
                <w:szCs w:val="22"/>
              </w:rPr>
              <w:t>2.1.7.</w:t>
            </w:r>
            <w:r w:rsidRPr="005354CF">
              <w:rPr>
                <w:rFonts w:cstheme="minorHAnsi"/>
                <w:szCs w:val="22"/>
                <w:lang w:val="hr-HR" w:eastAsia="hr-HR"/>
              </w:rPr>
              <w:tab/>
            </w:r>
            <w:r w:rsidRPr="005354CF">
              <w:rPr>
                <w:rStyle w:val="Hiperveza"/>
                <w:rFonts w:cstheme="minorHAnsi"/>
                <w:szCs w:val="22"/>
              </w:rPr>
              <w:t>Primici od financijske imovine i zaduživanja</w:t>
            </w:r>
            <w:r w:rsidRPr="005354CF">
              <w:rPr>
                <w:rFonts w:cstheme="minorHAnsi"/>
                <w:webHidden/>
                <w:szCs w:val="22"/>
              </w:rPr>
              <w:tab/>
            </w:r>
            <w:r w:rsidRPr="005354CF">
              <w:rPr>
                <w:rFonts w:cstheme="minorHAnsi"/>
                <w:webHidden/>
                <w:szCs w:val="22"/>
              </w:rPr>
              <w:fldChar w:fldCharType="begin"/>
            </w:r>
            <w:r w:rsidRPr="005354CF">
              <w:rPr>
                <w:rFonts w:cstheme="minorHAnsi"/>
                <w:webHidden/>
                <w:szCs w:val="22"/>
              </w:rPr>
              <w:instrText xml:space="preserve"> PAGEREF _Toc209436499 \h </w:instrText>
            </w:r>
            <w:r w:rsidRPr="005354CF">
              <w:rPr>
                <w:rFonts w:cstheme="minorHAnsi"/>
                <w:webHidden/>
                <w:szCs w:val="22"/>
              </w:rPr>
            </w:r>
            <w:r w:rsidRPr="005354CF">
              <w:rPr>
                <w:rFonts w:cstheme="minorHAnsi"/>
                <w:webHidden/>
                <w:szCs w:val="22"/>
              </w:rPr>
              <w:fldChar w:fldCharType="separate"/>
            </w:r>
            <w:r w:rsidRPr="005354CF">
              <w:rPr>
                <w:rFonts w:cstheme="minorHAnsi"/>
                <w:webHidden/>
                <w:szCs w:val="22"/>
              </w:rPr>
              <w:t>7</w:t>
            </w:r>
            <w:r w:rsidRPr="005354CF">
              <w:rPr>
                <w:rFonts w:cstheme="minorHAnsi"/>
                <w:webHidden/>
                <w:szCs w:val="22"/>
              </w:rPr>
              <w:fldChar w:fldCharType="end"/>
            </w:r>
          </w:hyperlink>
        </w:p>
        <w:p w14:paraId="079D6C47" w14:textId="17FE0CA3" w:rsidR="005354CF" w:rsidRPr="005354CF" w:rsidRDefault="005354CF">
          <w:pPr>
            <w:pStyle w:val="Sadraj2"/>
            <w:rPr>
              <w:rFonts w:cstheme="minorHAnsi"/>
              <w:noProof/>
              <w:sz w:val="22"/>
              <w:szCs w:val="22"/>
              <w:lang w:val="hr-HR" w:eastAsia="hr-HR"/>
            </w:rPr>
          </w:pPr>
          <w:hyperlink w:anchor="_Toc209436500" w:history="1">
            <w:r w:rsidRPr="005354CF">
              <w:rPr>
                <w:rStyle w:val="Hiperveza"/>
                <w:rFonts w:cstheme="minorHAnsi"/>
                <w:b/>
                <w:noProof/>
                <w:sz w:val="22"/>
                <w:szCs w:val="22"/>
              </w:rPr>
              <w:t>2.2.</w:t>
            </w:r>
            <w:r w:rsidRPr="005354CF">
              <w:rPr>
                <w:rFonts w:cstheme="minorHAnsi"/>
                <w:noProof/>
                <w:sz w:val="22"/>
                <w:szCs w:val="22"/>
                <w:lang w:val="hr-HR" w:eastAsia="hr-HR"/>
              </w:rPr>
              <w:tab/>
            </w:r>
            <w:r w:rsidRPr="005354CF">
              <w:rPr>
                <w:rStyle w:val="Hiperveza"/>
                <w:rFonts w:cstheme="minorHAnsi"/>
                <w:b/>
                <w:noProof/>
                <w:sz w:val="22"/>
                <w:szCs w:val="22"/>
              </w:rPr>
              <w:t>RASHODI I IZDACI</w:t>
            </w:r>
            <w:r w:rsidRPr="005354CF">
              <w:rPr>
                <w:rFonts w:cstheme="minorHAnsi"/>
                <w:noProof/>
                <w:webHidden/>
                <w:sz w:val="22"/>
                <w:szCs w:val="22"/>
              </w:rPr>
              <w:tab/>
            </w:r>
            <w:r w:rsidRPr="005354CF">
              <w:rPr>
                <w:rFonts w:cstheme="minorHAnsi"/>
                <w:noProof/>
                <w:webHidden/>
                <w:sz w:val="22"/>
                <w:szCs w:val="22"/>
              </w:rPr>
              <w:fldChar w:fldCharType="begin"/>
            </w:r>
            <w:r w:rsidRPr="005354CF">
              <w:rPr>
                <w:rFonts w:cstheme="minorHAnsi"/>
                <w:noProof/>
                <w:webHidden/>
                <w:sz w:val="22"/>
                <w:szCs w:val="22"/>
              </w:rPr>
              <w:instrText xml:space="preserve"> PAGEREF _Toc209436500 \h </w:instrText>
            </w:r>
            <w:r w:rsidRPr="005354CF">
              <w:rPr>
                <w:rFonts w:cstheme="minorHAnsi"/>
                <w:noProof/>
                <w:webHidden/>
                <w:sz w:val="22"/>
                <w:szCs w:val="22"/>
              </w:rPr>
            </w:r>
            <w:r w:rsidRPr="005354CF">
              <w:rPr>
                <w:rFonts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5354CF">
              <w:rPr>
                <w:rFonts w:cstheme="minorHAnsi"/>
                <w:noProof/>
                <w:webHidden/>
                <w:sz w:val="22"/>
                <w:szCs w:val="22"/>
              </w:rPr>
              <w:t>7</w:t>
            </w:r>
            <w:r w:rsidRPr="005354CF">
              <w:rPr>
                <w:rFonts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D4FA4BA" w14:textId="1B1900C5" w:rsidR="005354CF" w:rsidRPr="005354CF" w:rsidRDefault="005354CF">
          <w:pPr>
            <w:pStyle w:val="Sadraj3"/>
            <w:rPr>
              <w:rFonts w:cstheme="minorHAnsi"/>
              <w:szCs w:val="22"/>
              <w:lang w:val="hr-HR" w:eastAsia="hr-HR"/>
            </w:rPr>
          </w:pPr>
          <w:hyperlink w:anchor="_Toc209436501" w:history="1">
            <w:r w:rsidRPr="005354CF">
              <w:rPr>
                <w:rStyle w:val="Hiperveza"/>
                <w:rFonts w:cstheme="minorHAnsi"/>
                <w:szCs w:val="22"/>
              </w:rPr>
              <w:t>2.2.1.</w:t>
            </w:r>
            <w:r w:rsidRPr="005354CF">
              <w:rPr>
                <w:rFonts w:cstheme="minorHAnsi"/>
                <w:szCs w:val="22"/>
                <w:lang w:val="hr-HR" w:eastAsia="hr-HR"/>
              </w:rPr>
              <w:tab/>
            </w:r>
            <w:r w:rsidRPr="005354CF">
              <w:rPr>
                <w:rStyle w:val="Hiperveza"/>
                <w:rFonts w:cstheme="minorHAnsi"/>
                <w:szCs w:val="22"/>
              </w:rPr>
              <w:t>Rashodi za zaposlene</w:t>
            </w:r>
            <w:r w:rsidRPr="005354CF">
              <w:rPr>
                <w:rFonts w:cstheme="minorHAnsi"/>
                <w:webHidden/>
                <w:szCs w:val="22"/>
              </w:rPr>
              <w:tab/>
            </w:r>
            <w:r w:rsidRPr="005354CF">
              <w:rPr>
                <w:rFonts w:cstheme="minorHAnsi"/>
                <w:webHidden/>
                <w:szCs w:val="22"/>
              </w:rPr>
              <w:fldChar w:fldCharType="begin"/>
            </w:r>
            <w:r w:rsidRPr="005354CF">
              <w:rPr>
                <w:rFonts w:cstheme="minorHAnsi"/>
                <w:webHidden/>
                <w:szCs w:val="22"/>
              </w:rPr>
              <w:instrText xml:space="preserve"> PAGEREF _Toc209436501 \h </w:instrText>
            </w:r>
            <w:r w:rsidRPr="005354CF">
              <w:rPr>
                <w:rFonts w:cstheme="minorHAnsi"/>
                <w:webHidden/>
                <w:szCs w:val="22"/>
              </w:rPr>
            </w:r>
            <w:r w:rsidRPr="005354CF">
              <w:rPr>
                <w:rFonts w:cstheme="minorHAnsi"/>
                <w:webHidden/>
                <w:szCs w:val="22"/>
              </w:rPr>
              <w:fldChar w:fldCharType="separate"/>
            </w:r>
            <w:r w:rsidRPr="005354CF">
              <w:rPr>
                <w:rFonts w:cstheme="minorHAnsi"/>
                <w:webHidden/>
                <w:szCs w:val="22"/>
              </w:rPr>
              <w:t>8</w:t>
            </w:r>
            <w:r w:rsidRPr="005354CF">
              <w:rPr>
                <w:rFonts w:cstheme="minorHAnsi"/>
                <w:webHidden/>
                <w:szCs w:val="22"/>
              </w:rPr>
              <w:fldChar w:fldCharType="end"/>
            </w:r>
          </w:hyperlink>
        </w:p>
        <w:p w14:paraId="336F519B" w14:textId="29A0D916" w:rsidR="005354CF" w:rsidRPr="005354CF" w:rsidRDefault="005354CF">
          <w:pPr>
            <w:pStyle w:val="Sadraj3"/>
            <w:rPr>
              <w:rFonts w:cstheme="minorHAnsi"/>
              <w:szCs w:val="22"/>
              <w:lang w:val="hr-HR" w:eastAsia="hr-HR"/>
            </w:rPr>
          </w:pPr>
          <w:hyperlink w:anchor="_Toc209436502" w:history="1">
            <w:r w:rsidRPr="005354CF">
              <w:rPr>
                <w:rStyle w:val="Hiperveza"/>
                <w:rFonts w:cstheme="minorHAnsi"/>
                <w:szCs w:val="22"/>
              </w:rPr>
              <w:t>2.2.2.</w:t>
            </w:r>
            <w:r w:rsidRPr="005354CF">
              <w:rPr>
                <w:rFonts w:cstheme="minorHAnsi"/>
                <w:szCs w:val="22"/>
                <w:lang w:val="hr-HR" w:eastAsia="hr-HR"/>
              </w:rPr>
              <w:tab/>
            </w:r>
            <w:r w:rsidRPr="005354CF">
              <w:rPr>
                <w:rStyle w:val="Hiperveza"/>
                <w:rFonts w:cstheme="minorHAnsi"/>
                <w:szCs w:val="22"/>
              </w:rPr>
              <w:t>Materijalni rashodi</w:t>
            </w:r>
            <w:r w:rsidRPr="005354CF">
              <w:rPr>
                <w:rFonts w:cstheme="minorHAnsi"/>
                <w:webHidden/>
                <w:szCs w:val="22"/>
              </w:rPr>
              <w:tab/>
            </w:r>
            <w:r w:rsidRPr="005354CF">
              <w:rPr>
                <w:rFonts w:cstheme="minorHAnsi"/>
                <w:webHidden/>
                <w:szCs w:val="22"/>
              </w:rPr>
              <w:fldChar w:fldCharType="begin"/>
            </w:r>
            <w:r w:rsidRPr="005354CF">
              <w:rPr>
                <w:rFonts w:cstheme="minorHAnsi"/>
                <w:webHidden/>
                <w:szCs w:val="22"/>
              </w:rPr>
              <w:instrText xml:space="preserve"> PAGEREF _Toc209436502 \h </w:instrText>
            </w:r>
            <w:r w:rsidRPr="005354CF">
              <w:rPr>
                <w:rFonts w:cstheme="minorHAnsi"/>
                <w:webHidden/>
                <w:szCs w:val="22"/>
              </w:rPr>
            </w:r>
            <w:r w:rsidRPr="005354CF">
              <w:rPr>
                <w:rFonts w:cstheme="minorHAnsi"/>
                <w:webHidden/>
                <w:szCs w:val="22"/>
              </w:rPr>
              <w:fldChar w:fldCharType="separate"/>
            </w:r>
            <w:r w:rsidRPr="005354CF">
              <w:rPr>
                <w:rFonts w:cstheme="minorHAnsi"/>
                <w:webHidden/>
                <w:szCs w:val="22"/>
              </w:rPr>
              <w:t>8</w:t>
            </w:r>
            <w:r w:rsidRPr="005354CF">
              <w:rPr>
                <w:rFonts w:cstheme="minorHAnsi"/>
                <w:webHidden/>
                <w:szCs w:val="22"/>
              </w:rPr>
              <w:fldChar w:fldCharType="end"/>
            </w:r>
          </w:hyperlink>
        </w:p>
        <w:p w14:paraId="509A7F93" w14:textId="3B53A378" w:rsidR="005354CF" w:rsidRPr="005354CF" w:rsidRDefault="005354CF">
          <w:pPr>
            <w:pStyle w:val="Sadraj3"/>
            <w:rPr>
              <w:rFonts w:cstheme="minorHAnsi"/>
              <w:szCs w:val="22"/>
              <w:lang w:val="hr-HR" w:eastAsia="hr-HR"/>
            </w:rPr>
          </w:pPr>
          <w:hyperlink w:anchor="_Toc209436503" w:history="1">
            <w:r w:rsidRPr="005354CF">
              <w:rPr>
                <w:rStyle w:val="Hiperveza"/>
                <w:rFonts w:cstheme="minorHAnsi"/>
                <w:szCs w:val="22"/>
              </w:rPr>
              <w:t>2.2.3.</w:t>
            </w:r>
            <w:r w:rsidRPr="005354CF">
              <w:rPr>
                <w:rFonts w:cstheme="minorHAnsi"/>
                <w:szCs w:val="22"/>
                <w:lang w:val="hr-HR" w:eastAsia="hr-HR"/>
              </w:rPr>
              <w:tab/>
            </w:r>
            <w:r w:rsidRPr="005354CF">
              <w:rPr>
                <w:rStyle w:val="Hiperveza"/>
                <w:rFonts w:cstheme="minorHAnsi"/>
                <w:szCs w:val="22"/>
              </w:rPr>
              <w:t>Financijski rashodi</w:t>
            </w:r>
            <w:r w:rsidRPr="005354CF">
              <w:rPr>
                <w:rFonts w:cstheme="minorHAnsi"/>
                <w:webHidden/>
                <w:szCs w:val="22"/>
              </w:rPr>
              <w:tab/>
            </w:r>
            <w:r w:rsidRPr="005354CF">
              <w:rPr>
                <w:rFonts w:cstheme="minorHAnsi"/>
                <w:webHidden/>
                <w:szCs w:val="22"/>
              </w:rPr>
              <w:fldChar w:fldCharType="begin"/>
            </w:r>
            <w:r w:rsidRPr="005354CF">
              <w:rPr>
                <w:rFonts w:cstheme="minorHAnsi"/>
                <w:webHidden/>
                <w:szCs w:val="22"/>
              </w:rPr>
              <w:instrText xml:space="preserve"> PAGEREF _Toc209436503 \h </w:instrText>
            </w:r>
            <w:r w:rsidRPr="005354CF">
              <w:rPr>
                <w:rFonts w:cstheme="minorHAnsi"/>
                <w:webHidden/>
                <w:szCs w:val="22"/>
              </w:rPr>
            </w:r>
            <w:r w:rsidRPr="005354CF">
              <w:rPr>
                <w:rFonts w:cstheme="minorHAnsi"/>
                <w:webHidden/>
                <w:szCs w:val="22"/>
              </w:rPr>
              <w:fldChar w:fldCharType="separate"/>
            </w:r>
            <w:r w:rsidRPr="005354CF">
              <w:rPr>
                <w:rFonts w:cstheme="minorHAnsi"/>
                <w:webHidden/>
                <w:szCs w:val="22"/>
              </w:rPr>
              <w:t>9</w:t>
            </w:r>
            <w:r w:rsidRPr="005354CF">
              <w:rPr>
                <w:rFonts w:cstheme="minorHAnsi"/>
                <w:webHidden/>
                <w:szCs w:val="22"/>
              </w:rPr>
              <w:fldChar w:fldCharType="end"/>
            </w:r>
          </w:hyperlink>
        </w:p>
        <w:p w14:paraId="521D0331" w14:textId="0951FA6C" w:rsidR="005354CF" w:rsidRPr="005354CF" w:rsidRDefault="005354CF">
          <w:pPr>
            <w:pStyle w:val="Sadraj3"/>
            <w:rPr>
              <w:rFonts w:cstheme="minorHAnsi"/>
              <w:szCs w:val="22"/>
              <w:lang w:val="hr-HR" w:eastAsia="hr-HR"/>
            </w:rPr>
          </w:pPr>
          <w:hyperlink w:anchor="_Toc209436504" w:history="1">
            <w:r w:rsidRPr="005354CF">
              <w:rPr>
                <w:rStyle w:val="Hiperveza"/>
                <w:rFonts w:cstheme="minorHAnsi"/>
                <w:szCs w:val="22"/>
              </w:rPr>
              <w:t>2.2.4.</w:t>
            </w:r>
            <w:r w:rsidRPr="005354CF">
              <w:rPr>
                <w:rFonts w:cstheme="minorHAnsi"/>
                <w:szCs w:val="22"/>
                <w:lang w:val="hr-HR" w:eastAsia="hr-HR"/>
              </w:rPr>
              <w:tab/>
            </w:r>
            <w:r w:rsidRPr="005354CF">
              <w:rPr>
                <w:rStyle w:val="Hiperveza"/>
                <w:rFonts w:cstheme="minorHAnsi"/>
                <w:szCs w:val="22"/>
              </w:rPr>
              <w:t>Subvencije</w:t>
            </w:r>
            <w:r w:rsidRPr="005354CF">
              <w:rPr>
                <w:rFonts w:cstheme="minorHAnsi"/>
                <w:webHidden/>
                <w:szCs w:val="22"/>
              </w:rPr>
              <w:tab/>
            </w:r>
            <w:r w:rsidRPr="005354CF">
              <w:rPr>
                <w:rFonts w:cstheme="minorHAnsi"/>
                <w:webHidden/>
                <w:szCs w:val="22"/>
              </w:rPr>
              <w:fldChar w:fldCharType="begin"/>
            </w:r>
            <w:r w:rsidRPr="005354CF">
              <w:rPr>
                <w:rFonts w:cstheme="minorHAnsi"/>
                <w:webHidden/>
                <w:szCs w:val="22"/>
              </w:rPr>
              <w:instrText xml:space="preserve"> PAGEREF _Toc209436504 \h </w:instrText>
            </w:r>
            <w:r w:rsidRPr="005354CF">
              <w:rPr>
                <w:rFonts w:cstheme="minorHAnsi"/>
                <w:webHidden/>
                <w:szCs w:val="22"/>
              </w:rPr>
            </w:r>
            <w:r w:rsidRPr="005354CF">
              <w:rPr>
                <w:rFonts w:cstheme="minorHAnsi"/>
                <w:webHidden/>
                <w:szCs w:val="22"/>
              </w:rPr>
              <w:fldChar w:fldCharType="separate"/>
            </w:r>
            <w:r w:rsidRPr="005354CF">
              <w:rPr>
                <w:rFonts w:cstheme="minorHAnsi"/>
                <w:webHidden/>
                <w:szCs w:val="22"/>
              </w:rPr>
              <w:t>9</w:t>
            </w:r>
            <w:r w:rsidRPr="005354CF">
              <w:rPr>
                <w:rFonts w:cstheme="minorHAnsi"/>
                <w:webHidden/>
                <w:szCs w:val="22"/>
              </w:rPr>
              <w:fldChar w:fldCharType="end"/>
            </w:r>
          </w:hyperlink>
        </w:p>
        <w:p w14:paraId="3E105202" w14:textId="25C3E42C" w:rsidR="005354CF" w:rsidRPr="005354CF" w:rsidRDefault="005354CF">
          <w:pPr>
            <w:pStyle w:val="Sadraj3"/>
            <w:rPr>
              <w:rFonts w:cstheme="minorHAnsi"/>
              <w:szCs w:val="22"/>
              <w:lang w:val="hr-HR" w:eastAsia="hr-HR"/>
            </w:rPr>
          </w:pPr>
          <w:hyperlink w:anchor="_Toc209436505" w:history="1">
            <w:r w:rsidRPr="005354CF">
              <w:rPr>
                <w:rStyle w:val="Hiperveza"/>
                <w:rFonts w:cstheme="minorHAnsi"/>
                <w:szCs w:val="22"/>
              </w:rPr>
              <w:t>2.2.5.</w:t>
            </w:r>
            <w:r w:rsidRPr="005354CF">
              <w:rPr>
                <w:rFonts w:cstheme="minorHAnsi"/>
                <w:szCs w:val="22"/>
                <w:lang w:val="hr-HR" w:eastAsia="hr-HR"/>
              </w:rPr>
              <w:tab/>
            </w:r>
            <w:r w:rsidRPr="005354CF">
              <w:rPr>
                <w:rStyle w:val="Hiperveza"/>
                <w:rFonts w:cstheme="minorHAnsi"/>
                <w:szCs w:val="22"/>
              </w:rPr>
              <w:t>Pomoći dane u inozemstvo i unutar općeg proračuna</w:t>
            </w:r>
            <w:r w:rsidRPr="005354CF">
              <w:rPr>
                <w:rFonts w:cstheme="minorHAnsi"/>
                <w:webHidden/>
                <w:szCs w:val="22"/>
              </w:rPr>
              <w:tab/>
            </w:r>
            <w:r w:rsidRPr="005354CF">
              <w:rPr>
                <w:rFonts w:cstheme="minorHAnsi"/>
                <w:webHidden/>
                <w:szCs w:val="22"/>
              </w:rPr>
              <w:fldChar w:fldCharType="begin"/>
            </w:r>
            <w:r w:rsidRPr="005354CF">
              <w:rPr>
                <w:rFonts w:cstheme="minorHAnsi"/>
                <w:webHidden/>
                <w:szCs w:val="22"/>
              </w:rPr>
              <w:instrText xml:space="preserve"> PAGEREF _Toc209436505 \h </w:instrText>
            </w:r>
            <w:r w:rsidRPr="005354CF">
              <w:rPr>
                <w:rFonts w:cstheme="minorHAnsi"/>
                <w:webHidden/>
                <w:szCs w:val="22"/>
              </w:rPr>
            </w:r>
            <w:r w:rsidRPr="005354CF">
              <w:rPr>
                <w:rFonts w:cstheme="minorHAnsi"/>
                <w:webHidden/>
                <w:szCs w:val="22"/>
              </w:rPr>
              <w:fldChar w:fldCharType="separate"/>
            </w:r>
            <w:r w:rsidRPr="005354CF">
              <w:rPr>
                <w:rFonts w:cstheme="minorHAnsi"/>
                <w:webHidden/>
                <w:szCs w:val="22"/>
              </w:rPr>
              <w:t>10</w:t>
            </w:r>
            <w:r w:rsidRPr="005354CF">
              <w:rPr>
                <w:rFonts w:cstheme="minorHAnsi"/>
                <w:webHidden/>
                <w:szCs w:val="22"/>
              </w:rPr>
              <w:fldChar w:fldCharType="end"/>
            </w:r>
          </w:hyperlink>
        </w:p>
        <w:p w14:paraId="1326DD16" w14:textId="1811F727" w:rsidR="005354CF" w:rsidRPr="005354CF" w:rsidRDefault="005354CF">
          <w:pPr>
            <w:pStyle w:val="Sadraj3"/>
            <w:rPr>
              <w:rFonts w:cstheme="minorHAnsi"/>
              <w:szCs w:val="22"/>
              <w:lang w:val="hr-HR" w:eastAsia="hr-HR"/>
            </w:rPr>
          </w:pPr>
          <w:hyperlink w:anchor="_Toc209436506" w:history="1">
            <w:r w:rsidRPr="005354CF">
              <w:rPr>
                <w:rStyle w:val="Hiperveza"/>
                <w:rFonts w:cstheme="minorHAnsi"/>
                <w:szCs w:val="22"/>
              </w:rPr>
              <w:t>2.2.6.</w:t>
            </w:r>
            <w:r w:rsidRPr="005354CF">
              <w:rPr>
                <w:rFonts w:cstheme="minorHAnsi"/>
                <w:szCs w:val="22"/>
                <w:lang w:val="hr-HR" w:eastAsia="hr-HR"/>
              </w:rPr>
              <w:tab/>
            </w:r>
            <w:r w:rsidRPr="005354CF">
              <w:rPr>
                <w:rStyle w:val="Hiperveza"/>
                <w:rFonts w:cstheme="minorHAnsi"/>
                <w:szCs w:val="22"/>
              </w:rPr>
              <w:t>Naknade građanima i kućanstvima na temelju osiguranja i druge naknade</w:t>
            </w:r>
            <w:r w:rsidRPr="005354CF">
              <w:rPr>
                <w:rFonts w:cstheme="minorHAnsi"/>
                <w:webHidden/>
                <w:szCs w:val="22"/>
              </w:rPr>
              <w:tab/>
            </w:r>
            <w:r w:rsidRPr="005354CF">
              <w:rPr>
                <w:rFonts w:cstheme="minorHAnsi"/>
                <w:webHidden/>
                <w:szCs w:val="22"/>
              </w:rPr>
              <w:fldChar w:fldCharType="begin"/>
            </w:r>
            <w:r w:rsidRPr="005354CF">
              <w:rPr>
                <w:rFonts w:cstheme="minorHAnsi"/>
                <w:webHidden/>
                <w:szCs w:val="22"/>
              </w:rPr>
              <w:instrText xml:space="preserve"> PAGEREF _Toc209436506 \h </w:instrText>
            </w:r>
            <w:r w:rsidRPr="005354CF">
              <w:rPr>
                <w:rFonts w:cstheme="minorHAnsi"/>
                <w:webHidden/>
                <w:szCs w:val="22"/>
              </w:rPr>
            </w:r>
            <w:r w:rsidRPr="005354CF">
              <w:rPr>
                <w:rFonts w:cstheme="minorHAnsi"/>
                <w:webHidden/>
                <w:szCs w:val="22"/>
              </w:rPr>
              <w:fldChar w:fldCharType="separate"/>
            </w:r>
            <w:r w:rsidRPr="005354CF">
              <w:rPr>
                <w:rFonts w:cstheme="minorHAnsi"/>
                <w:webHidden/>
                <w:szCs w:val="22"/>
              </w:rPr>
              <w:t>10</w:t>
            </w:r>
            <w:r w:rsidRPr="005354CF">
              <w:rPr>
                <w:rFonts w:cstheme="minorHAnsi"/>
                <w:webHidden/>
                <w:szCs w:val="22"/>
              </w:rPr>
              <w:fldChar w:fldCharType="end"/>
            </w:r>
          </w:hyperlink>
        </w:p>
        <w:p w14:paraId="54FC5DF9" w14:textId="513FC896" w:rsidR="005354CF" w:rsidRPr="005354CF" w:rsidRDefault="005354CF">
          <w:pPr>
            <w:pStyle w:val="Sadraj3"/>
            <w:rPr>
              <w:rFonts w:cstheme="minorHAnsi"/>
              <w:szCs w:val="22"/>
              <w:lang w:val="hr-HR" w:eastAsia="hr-HR"/>
            </w:rPr>
          </w:pPr>
          <w:hyperlink w:anchor="_Toc209436507" w:history="1">
            <w:r w:rsidRPr="005354CF">
              <w:rPr>
                <w:rStyle w:val="Hiperveza"/>
                <w:rFonts w:cstheme="minorHAnsi"/>
                <w:szCs w:val="22"/>
              </w:rPr>
              <w:t>2.2.7.</w:t>
            </w:r>
            <w:r w:rsidRPr="005354CF">
              <w:rPr>
                <w:rFonts w:cstheme="minorHAnsi"/>
                <w:szCs w:val="22"/>
                <w:lang w:val="hr-HR" w:eastAsia="hr-HR"/>
              </w:rPr>
              <w:tab/>
            </w:r>
            <w:r w:rsidRPr="005354CF">
              <w:rPr>
                <w:rStyle w:val="Hiperveza"/>
                <w:rFonts w:cstheme="minorHAnsi"/>
                <w:szCs w:val="22"/>
              </w:rPr>
              <w:t>Rashodi za donacije, kazne, naknade šteta i kapitalne pomoći</w:t>
            </w:r>
            <w:r w:rsidRPr="005354CF">
              <w:rPr>
                <w:rFonts w:cstheme="minorHAnsi"/>
                <w:webHidden/>
                <w:szCs w:val="22"/>
              </w:rPr>
              <w:tab/>
            </w:r>
            <w:r w:rsidRPr="005354CF">
              <w:rPr>
                <w:rFonts w:cstheme="minorHAnsi"/>
                <w:webHidden/>
                <w:szCs w:val="22"/>
              </w:rPr>
              <w:fldChar w:fldCharType="begin"/>
            </w:r>
            <w:r w:rsidRPr="005354CF">
              <w:rPr>
                <w:rFonts w:cstheme="minorHAnsi"/>
                <w:webHidden/>
                <w:szCs w:val="22"/>
              </w:rPr>
              <w:instrText xml:space="preserve"> PAGEREF _Toc209436507 \h </w:instrText>
            </w:r>
            <w:r w:rsidRPr="005354CF">
              <w:rPr>
                <w:rFonts w:cstheme="minorHAnsi"/>
                <w:webHidden/>
                <w:szCs w:val="22"/>
              </w:rPr>
            </w:r>
            <w:r w:rsidRPr="005354CF">
              <w:rPr>
                <w:rFonts w:cstheme="minorHAnsi"/>
                <w:webHidden/>
                <w:szCs w:val="22"/>
              </w:rPr>
              <w:fldChar w:fldCharType="separate"/>
            </w:r>
            <w:r w:rsidRPr="005354CF">
              <w:rPr>
                <w:rFonts w:cstheme="minorHAnsi"/>
                <w:webHidden/>
                <w:szCs w:val="22"/>
              </w:rPr>
              <w:t>10</w:t>
            </w:r>
            <w:r w:rsidRPr="005354CF">
              <w:rPr>
                <w:rFonts w:cstheme="minorHAnsi"/>
                <w:webHidden/>
                <w:szCs w:val="22"/>
              </w:rPr>
              <w:fldChar w:fldCharType="end"/>
            </w:r>
          </w:hyperlink>
        </w:p>
        <w:p w14:paraId="70ADF025" w14:textId="03856BE7" w:rsidR="005354CF" w:rsidRPr="005354CF" w:rsidRDefault="005354CF">
          <w:pPr>
            <w:pStyle w:val="Sadraj3"/>
            <w:rPr>
              <w:rFonts w:cstheme="minorHAnsi"/>
              <w:szCs w:val="22"/>
              <w:lang w:val="hr-HR" w:eastAsia="hr-HR"/>
            </w:rPr>
          </w:pPr>
          <w:hyperlink w:anchor="_Toc209436508" w:history="1">
            <w:r w:rsidRPr="005354CF">
              <w:rPr>
                <w:rStyle w:val="Hiperveza"/>
                <w:rFonts w:cstheme="minorHAnsi"/>
                <w:szCs w:val="22"/>
              </w:rPr>
              <w:t>2.2.8.</w:t>
            </w:r>
            <w:r w:rsidRPr="005354CF">
              <w:rPr>
                <w:rFonts w:cstheme="minorHAnsi"/>
                <w:szCs w:val="22"/>
                <w:lang w:val="hr-HR" w:eastAsia="hr-HR"/>
              </w:rPr>
              <w:tab/>
            </w:r>
            <w:r w:rsidRPr="005354CF">
              <w:rPr>
                <w:rStyle w:val="Hiperveza"/>
                <w:rFonts w:cstheme="minorHAnsi"/>
                <w:szCs w:val="22"/>
              </w:rPr>
              <w:t>Rashodi za nabavu neproizvedene dugotrajne imovine</w:t>
            </w:r>
            <w:r w:rsidRPr="005354CF">
              <w:rPr>
                <w:rFonts w:cstheme="minorHAnsi"/>
                <w:webHidden/>
                <w:szCs w:val="22"/>
              </w:rPr>
              <w:tab/>
            </w:r>
            <w:r w:rsidRPr="005354CF">
              <w:rPr>
                <w:rFonts w:cstheme="minorHAnsi"/>
                <w:webHidden/>
                <w:szCs w:val="22"/>
              </w:rPr>
              <w:fldChar w:fldCharType="begin"/>
            </w:r>
            <w:r w:rsidRPr="005354CF">
              <w:rPr>
                <w:rFonts w:cstheme="minorHAnsi"/>
                <w:webHidden/>
                <w:szCs w:val="22"/>
              </w:rPr>
              <w:instrText xml:space="preserve"> PAGEREF _Toc209436508 \h </w:instrText>
            </w:r>
            <w:r w:rsidRPr="005354CF">
              <w:rPr>
                <w:rFonts w:cstheme="minorHAnsi"/>
                <w:webHidden/>
                <w:szCs w:val="22"/>
              </w:rPr>
            </w:r>
            <w:r w:rsidRPr="005354CF">
              <w:rPr>
                <w:rFonts w:cstheme="minorHAnsi"/>
                <w:webHidden/>
                <w:szCs w:val="22"/>
              </w:rPr>
              <w:fldChar w:fldCharType="separate"/>
            </w:r>
            <w:r w:rsidRPr="005354CF">
              <w:rPr>
                <w:rFonts w:cstheme="minorHAnsi"/>
                <w:webHidden/>
                <w:szCs w:val="22"/>
              </w:rPr>
              <w:t>11</w:t>
            </w:r>
            <w:r w:rsidRPr="005354CF">
              <w:rPr>
                <w:rFonts w:cstheme="minorHAnsi"/>
                <w:webHidden/>
                <w:szCs w:val="22"/>
              </w:rPr>
              <w:fldChar w:fldCharType="end"/>
            </w:r>
          </w:hyperlink>
        </w:p>
        <w:p w14:paraId="5BE2C1B6" w14:textId="4400063B" w:rsidR="005354CF" w:rsidRPr="005354CF" w:rsidRDefault="005354CF">
          <w:pPr>
            <w:pStyle w:val="Sadraj3"/>
            <w:rPr>
              <w:rFonts w:cstheme="minorHAnsi"/>
              <w:szCs w:val="22"/>
              <w:lang w:val="hr-HR" w:eastAsia="hr-HR"/>
            </w:rPr>
          </w:pPr>
          <w:hyperlink w:anchor="_Toc209436509" w:history="1">
            <w:r w:rsidRPr="005354CF">
              <w:rPr>
                <w:rStyle w:val="Hiperveza"/>
                <w:rFonts w:cstheme="minorHAnsi"/>
                <w:szCs w:val="22"/>
              </w:rPr>
              <w:t>2.2.9.</w:t>
            </w:r>
            <w:r w:rsidRPr="005354CF">
              <w:rPr>
                <w:rFonts w:cstheme="minorHAnsi"/>
                <w:szCs w:val="22"/>
                <w:lang w:val="hr-HR" w:eastAsia="hr-HR"/>
              </w:rPr>
              <w:tab/>
            </w:r>
            <w:r w:rsidRPr="005354CF">
              <w:rPr>
                <w:rStyle w:val="Hiperveza"/>
                <w:rFonts w:cstheme="minorHAnsi"/>
                <w:szCs w:val="22"/>
              </w:rPr>
              <w:t>Rashodi za nabavu proizvedene dugotrajne imovine</w:t>
            </w:r>
            <w:r w:rsidRPr="005354CF">
              <w:rPr>
                <w:rFonts w:cstheme="minorHAnsi"/>
                <w:webHidden/>
                <w:szCs w:val="22"/>
              </w:rPr>
              <w:tab/>
            </w:r>
            <w:r w:rsidRPr="005354CF">
              <w:rPr>
                <w:rFonts w:cstheme="minorHAnsi"/>
                <w:webHidden/>
                <w:szCs w:val="22"/>
              </w:rPr>
              <w:fldChar w:fldCharType="begin"/>
            </w:r>
            <w:r w:rsidRPr="005354CF">
              <w:rPr>
                <w:rFonts w:cstheme="minorHAnsi"/>
                <w:webHidden/>
                <w:szCs w:val="22"/>
              </w:rPr>
              <w:instrText xml:space="preserve"> PAGEREF _Toc209436509 \h </w:instrText>
            </w:r>
            <w:r w:rsidRPr="005354CF">
              <w:rPr>
                <w:rFonts w:cstheme="minorHAnsi"/>
                <w:webHidden/>
                <w:szCs w:val="22"/>
              </w:rPr>
            </w:r>
            <w:r w:rsidRPr="005354CF">
              <w:rPr>
                <w:rFonts w:cstheme="minorHAnsi"/>
                <w:webHidden/>
                <w:szCs w:val="22"/>
              </w:rPr>
              <w:fldChar w:fldCharType="separate"/>
            </w:r>
            <w:r w:rsidRPr="005354CF">
              <w:rPr>
                <w:rFonts w:cstheme="minorHAnsi"/>
                <w:webHidden/>
                <w:szCs w:val="22"/>
              </w:rPr>
              <w:t>11</w:t>
            </w:r>
            <w:r w:rsidRPr="005354CF">
              <w:rPr>
                <w:rFonts w:cstheme="minorHAnsi"/>
                <w:webHidden/>
                <w:szCs w:val="22"/>
              </w:rPr>
              <w:fldChar w:fldCharType="end"/>
            </w:r>
          </w:hyperlink>
        </w:p>
        <w:p w14:paraId="252E5024" w14:textId="2290CC52" w:rsidR="005354CF" w:rsidRPr="005354CF" w:rsidRDefault="005354CF">
          <w:pPr>
            <w:pStyle w:val="Sadraj3"/>
            <w:rPr>
              <w:rFonts w:cstheme="minorHAnsi"/>
              <w:szCs w:val="22"/>
              <w:lang w:val="hr-HR" w:eastAsia="hr-HR"/>
            </w:rPr>
          </w:pPr>
          <w:hyperlink w:anchor="_Toc209436510" w:history="1">
            <w:r w:rsidRPr="005354CF">
              <w:rPr>
                <w:rStyle w:val="Hiperveza"/>
                <w:rFonts w:cstheme="minorHAnsi"/>
                <w:szCs w:val="22"/>
              </w:rPr>
              <w:t>2.2.10.</w:t>
            </w:r>
            <w:r w:rsidRPr="005354CF">
              <w:rPr>
                <w:rFonts w:cstheme="minorHAnsi"/>
                <w:szCs w:val="22"/>
                <w:lang w:val="hr-HR" w:eastAsia="hr-HR"/>
              </w:rPr>
              <w:tab/>
            </w:r>
            <w:r w:rsidRPr="005354CF">
              <w:rPr>
                <w:rStyle w:val="Hiperveza"/>
                <w:rFonts w:cstheme="minorHAnsi"/>
                <w:szCs w:val="22"/>
              </w:rPr>
              <w:t>Rashodi za dodatna ulaganja na nefinancijskoj imovini</w:t>
            </w:r>
            <w:r w:rsidRPr="005354CF">
              <w:rPr>
                <w:rFonts w:cstheme="minorHAnsi"/>
                <w:webHidden/>
                <w:szCs w:val="22"/>
              </w:rPr>
              <w:tab/>
            </w:r>
            <w:r w:rsidRPr="005354CF">
              <w:rPr>
                <w:rFonts w:cstheme="minorHAnsi"/>
                <w:webHidden/>
                <w:szCs w:val="22"/>
              </w:rPr>
              <w:fldChar w:fldCharType="begin"/>
            </w:r>
            <w:r w:rsidRPr="005354CF">
              <w:rPr>
                <w:rFonts w:cstheme="minorHAnsi"/>
                <w:webHidden/>
                <w:szCs w:val="22"/>
              </w:rPr>
              <w:instrText xml:space="preserve"> PAGEREF _Toc209436510 \h </w:instrText>
            </w:r>
            <w:r w:rsidRPr="005354CF">
              <w:rPr>
                <w:rFonts w:cstheme="minorHAnsi"/>
                <w:webHidden/>
                <w:szCs w:val="22"/>
              </w:rPr>
            </w:r>
            <w:r w:rsidRPr="005354CF">
              <w:rPr>
                <w:rFonts w:cstheme="minorHAnsi"/>
                <w:webHidden/>
                <w:szCs w:val="22"/>
              </w:rPr>
              <w:fldChar w:fldCharType="separate"/>
            </w:r>
            <w:r w:rsidRPr="005354CF">
              <w:rPr>
                <w:rFonts w:cstheme="minorHAnsi"/>
                <w:webHidden/>
                <w:szCs w:val="22"/>
              </w:rPr>
              <w:t>11</w:t>
            </w:r>
            <w:r w:rsidRPr="005354CF">
              <w:rPr>
                <w:rFonts w:cstheme="minorHAnsi"/>
                <w:webHidden/>
                <w:szCs w:val="22"/>
              </w:rPr>
              <w:fldChar w:fldCharType="end"/>
            </w:r>
          </w:hyperlink>
        </w:p>
        <w:p w14:paraId="7CC53391" w14:textId="49119EBA" w:rsidR="005354CF" w:rsidRPr="005354CF" w:rsidRDefault="005354CF">
          <w:pPr>
            <w:pStyle w:val="Sadraj3"/>
            <w:rPr>
              <w:rFonts w:cstheme="minorHAnsi"/>
              <w:szCs w:val="22"/>
              <w:lang w:val="hr-HR" w:eastAsia="hr-HR"/>
            </w:rPr>
          </w:pPr>
          <w:hyperlink w:anchor="_Toc209436511" w:history="1">
            <w:r w:rsidRPr="005354CF">
              <w:rPr>
                <w:rStyle w:val="Hiperveza"/>
                <w:rFonts w:cstheme="minorHAnsi"/>
                <w:szCs w:val="22"/>
              </w:rPr>
              <w:t>2.2.11.</w:t>
            </w:r>
            <w:r w:rsidRPr="005354CF">
              <w:rPr>
                <w:rFonts w:cstheme="minorHAnsi"/>
                <w:szCs w:val="22"/>
                <w:lang w:val="hr-HR" w:eastAsia="hr-HR"/>
              </w:rPr>
              <w:tab/>
            </w:r>
            <w:r w:rsidRPr="005354CF">
              <w:rPr>
                <w:rStyle w:val="Hiperveza"/>
                <w:rFonts w:cstheme="minorHAnsi"/>
                <w:szCs w:val="22"/>
              </w:rPr>
              <w:t>Izdaci za financijsku imovinu i otplate zajmova</w:t>
            </w:r>
            <w:r w:rsidRPr="005354CF">
              <w:rPr>
                <w:rFonts w:cstheme="minorHAnsi"/>
                <w:webHidden/>
                <w:szCs w:val="22"/>
              </w:rPr>
              <w:tab/>
            </w:r>
            <w:r w:rsidRPr="005354CF">
              <w:rPr>
                <w:rFonts w:cstheme="minorHAnsi"/>
                <w:webHidden/>
                <w:szCs w:val="22"/>
              </w:rPr>
              <w:fldChar w:fldCharType="begin"/>
            </w:r>
            <w:r w:rsidRPr="005354CF">
              <w:rPr>
                <w:rFonts w:cstheme="minorHAnsi"/>
                <w:webHidden/>
                <w:szCs w:val="22"/>
              </w:rPr>
              <w:instrText xml:space="preserve"> PAGEREF _Toc209436511 \h </w:instrText>
            </w:r>
            <w:r w:rsidRPr="005354CF">
              <w:rPr>
                <w:rFonts w:cstheme="minorHAnsi"/>
                <w:webHidden/>
                <w:szCs w:val="22"/>
              </w:rPr>
            </w:r>
            <w:r w:rsidRPr="005354CF">
              <w:rPr>
                <w:rFonts w:cstheme="minorHAnsi"/>
                <w:webHidden/>
                <w:szCs w:val="22"/>
              </w:rPr>
              <w:fldChar w:fldCharType="separate"/>
            </w:r>
            <w:r w:rsidRPr="005354CF">
              <w:rPr>
                <w:rFonts w:cstheme="minorHAnsi"/>
                <w:webHidden/>
                <w:szCs w:val="22"/>
              </w:rPr>
              <w:t>12</w:t>
            </w:r>
            <w:r w:rsidRPr="005354CF">
              <w:rPr>
                <w:rFonts w:cstheme="minorHAnsi"/>
                <w:webHidden/>
                <w:szCs w:val="22"/>
              </w:rPr>
              <w:fldChar w:fldCharType="end"/>
            </w:r>
          </w:hyperlink>
        </w:p>
        <w:p w14:paraId="34582E3F" w14:textId="1F6AFD55" w:rsidR="005354CF" w:rsidRPr="005354CF" w:rsidRDefault="005354CF">
          <w:pPr>
            <w:pStyle w:val="Sadraj1"/>
            <w:rPr>
              <w:rFonts w:cstheme="minorHAnsi"/>
              <w:noProof/>
              <w:sz w:val="22"/>
              <w:szCs w:val="22"/>
              <w:lang w:val="hr-HR" w:eastAsia="hr-HR"/>
            </w:rPr>
          </w:pPr>
          <w:hyperlink w:anchor="_Toc209436512" w:history="1">
            <w:r w:rsidRPr="005354CF">
              <w:rPr>
                <w:rStyle w:val="Hiperveza"/>
                <w:rFonts w:cstheme="minorHAnsi"/>
                <w:b/>
                <w:caps/>
                <w:noProof/>
                <w:sz w:val="22"/>
                <w:szCs w:val="22"/>
              </w:rPr>
              <w:t>3.</w:t>
            </w:r>
            <w:r w:rsidRPr="005354CF">
              <w:rPr>
                <w:rFonts w:cstheme="minorHAnsi"/>
                <w:noProof/>
                <w:sz w:val="22"/>
                <w:szCs w:val="22"/>
                <w:lang w:val="hr-HR" w:eastAsia="hr-HR"/>
              </w:rPr>
              <w:tab/>
            </w:r>
            <w:r w:rsidRPr="005354CF">
              <w:rPr>
                <w:rStyle w:val="Hiperveza"/>
                <w:rFonts w:cstheme="minorHAnsi"/>
                <w:b/>
                <w:caps/>
                <w:noProof/>
                <w:sz w:val="22"/>
                <w:szCs w:val="22"/>
              </w:rPr>
              <w:t>Posebni izvještaji u Polugodišnjem izvještaju o izvršenju Proračuna</w:t>
            </w:r>
            <w:r w:rsidRPr="005354CF">
              <w:rPr>
                <w:rFonts w:cstheme="minorHAnsi"/>
                <w:noProof/>
                <w:webHidden/>
                <w:sz w:val="22"/>
                <w:szCs w:val="22"/>
              </w:rPr>
              <w:tab/>
            </w:r>
            <w:r w:rsidRPr="005354CF">
              <w:rPr>
                <w:rFonts w:cstheme="minorHAnsi"/>
                <w:noProof/>
                <w:webHidden/>
                <w:sz w:val="22"/>
                <w:szCs w:val="22"/>
              </w:rPr>
              <w:fldChar w:fldCharType="begin"/>
            </w:r>
            <w:r w:rsidRPr="005354CF">
              <w:rPr>
                <w:rFonts w:cstheme="minorHAnsi"/>
                <w:noProof/>
                <w:webHidden/>
                <w:sz w:val="22"/>
                <w:szCs w:val="22"/>
              </w:rPr>
              <w:instrText xml:space="preserve"> PAGEREF _Toc209436512 \h </w:instrText>
            </w:r>
            <w:r w:rsidRPr="005354CF">
              <w:rPr>
                <w:rFonts w:cstheme="minorHAnsi"/>
                <w:noProof/>
                <w:webHidden/>
                <w:sz w:val="22"/>
                <w:szCs w:val="22"/>
              </w:rPr>
            </w:r>
            <w:r w:rsidRPr="005354CF">
              <w:rPr>
                <w:rFonts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5354CF">
              <w:rPr>
                <w:rFonts w:cstheme="minorHAnsi"/>
                <w:noProof/>
                <w:webHidden/>
                <w:sz w:val="22"/>
                <w:szCs w:val="22"/>
              </w:rPr>
              <w:t>12</w:t>
            </w:r>
            <w:r w:rsidRPr="005354CF">
              <w:rPr>
                <w:rFonts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5F3085F" w14:textId="012BB2B2" w:rsidR="005354CF" w:rsidRPr="005354CF" w:rsidRDefault="005354CF">
          <w:pPr>
            <w:pStyle w:val="Sadraj2"/>
            <w:rPr>
              <w:rFonts w:cstheme="minorHAnsi"/>
              <w:noProof/>
              <w:sz w:val="22"/>
              <w:szCs w:val="22"/>
              <w:lang w:val="hr-HR" w:eastAsia="hr-HR"/>
            </w:rPr>
          </w:pPr>
          <w:hyperlink w:anchor="_Toc209436513" w:history="1">
            <w:r w:rsidRPr="005354CF">
              <w:rPr>
                <w:rStyle w:val="Hiperveza"/>
                <w:rFonts w:cstheme="minorHAnsi"/>
                <w:b/>
                <w:caps/>
                <w:noProof/>
                <w:sz w:val="22"/>
                <w:szCs w:val="22"/>
              </w:rPr>
              <w:t>3.1.</w:t>
            </w:r>
            <w:r w:rsidRPr="005354CF">
              <w:rPr>
                <w:rFonts w:cstheme="minorHAnsi"/>
                <w:noProof/>
                <w:sz w:val="22"/>
                <w:szCs w:val="22"/>
                <w:lang w:val="hr-HR" w:eastAsia="hr-HR"/>
              </w:rPr>
              <w:tab/>
            </w:r>
            <w:r w:rsidRPr="005354CF">
              <w:rPr>
                <w:rStyle w:val="Hiperveza"/>
                <w:rFonts w:cstheme="minorHAnsi"/>
                <w:b/>
                <w:caps/>
                <w:noProof/>
                <w:sz w:val="22"/>
                <w:szCs w:val="22"/>
              </w:rPr>
              <w:t>IZVJEŠTAJ O KORIŠTENJU S</w:t>
            </w:r>
            <w:r w:rsidRPr="005354CF">
              <w:rPr>
                <w:rStyle w:val="Hiperveza"/>
                <w:rFonts w:cstheme="minorHAnsi"/>
                <w:b/>
                <w:caps/>
                <w:noProof/>
                <w:sz w:val="22"/>
                <w:szCs w:val="22"/>
              </w:rPr>
              <w:t>R</w:t>
            </w:r>
            <w:r w:rsidRPr="005354CF">
              <w:rPr>
                <w:rStyle w:val="Hiperveza"/>
                <w:rFonts w:cstheme="minorHAnsi"/>
                <w:b/>
                <w:caps/>
                <w:noProof/>
                <w:sz w:val="22"/>
                <w:szCs w:val="22"/>
              </w:rPr>
              <w:t>EDSTAVA PRORAČUNSKE ZALIHE</w:t>
            </w:r>
            <w:r w:rsidRPr="005354CF">
              <w:rPr>
                <w:rFonts w:cstheme="minorHAnsi"/>
                <w:noProof/>
                <w:webHidden/>
                <w:sz w:val="22"/>
                <w:szCs w:val="22"/>
              </w:rPr>
              <w:tab/>
            </w:r>
            <w:r w:rsidRPr="005354CF">
              <w:rPr>
                <w:rFonts w:cstheme="minorHAnsi"/>
                <w:noProof/>
                <w:webHidden/>
                <w:sz w:val="22"/>
                <w:szCs w:val="22"/>
              </w:rPr>
              <w:fldChar w:fldCharType="begin"/>
            </w:r>
            <w:r w:rsidRPr="005354CF">
              <w:rPr>
                <w:rFonts w:cstheme="minorHAnsi"/>
                <w:noProof/>
                <w:webHidden/>
                <w:sz w:val="22"/>
                <w:szCs w:val="22"/>
              </w:rPr>
              <w:instrText xml:space="preserve"> PAGEREF _Toc209436513 \h </w:instrText>
            </w:r>
            <w:r w:rsidRPr="005354CF">
              <w:rPr>
                <w:rFonts w:cstheme="minorHAnsi"/>
                <w:noProof/>
                <w:webHidden/>
                <w:sz w:val="22"/>
                <w:szCs w:val="22"/>
              </w:rPr>
            </w:r>
            <w:r w:rsidRPr="005354CF">
              <w:rPr>
                <w:rFonts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5354CF">
              <w:rPr>
                <w:rFonts w:cstheme="minorHAnsi"/>
                <w:noProof/>
                <w:webHidden/>
                <w:sz w:val="22"/>
                <w:szCs w:val="22"/>
              </w:rPr>
              <w:t>12</w:t>
            </w:r>
            <w:r w:rsidRPr="005354CF">
              <w:rPr>
                <w:rFonts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794E40D" w14:textId="4A0D7BF7" w:rsidR="005354CF" w:rsidRPr="005354CF" w:rsidRDefault="005354CF">
          <w:pPr>
            <w:pStyle w:val="Sadraj2"/>
            <w:rPr>
              <w:rFonts w:cstheme="minorHAnsi"/>
              <w:noProof/>
              <w:sz w:val="22"/>
              <w:szCs w:val="22"/>
              <w:lang w:val="hr-HR" w:eastAsia="hr-HR"/>
            </w:rPr>
          </w:pPr>
          <w:hyperlink w:anchor="_Toc209436514" w:history="1">
            <w:r w:rsidRPr="005354CF">
              <w:rPr>
                <w:rStyle w:val="Hiperveza"/>
                <w:rFonts w:cstheme="minorHAnsi"/>
                <w:b/>
                <w:caps/>
                <w:noProof/>
                <w:sz w:val="22"/>
                <w:szCs w:val="22"/>
                <w:lang w:eastAsia="hr-HR"/>
              </w:rPr>
              <w:t>3.2.</w:t>
            </w:r>
            <w:r w:rsidRPr="005354CF">
              <w:rPr>
                <w:rFonts w:cstheme="minorHAnsi"/>
                <w:noProof/>
                <w:sz w:val="22"/>
                <w:szCs w:val="22"/>
                <w:lang w:val="hr-HR" w:eastAsia="hr-HR"/>
              </w:rPr>
              <w:tab/>
            </w:r>
            <w:r w:rsidRPr="005354CF">
              <w:rPr>
                <w:rStyle w:val="Hiperveza"/>
                <w:rFonts w:cstheme="minorHAnsi"/>
                <w:b/>
                <w:caps/>
                <w:noProof/>
                <w:sz w:val="22"/>
                <w:szCs w:val="22"/>
                <w:lang w:eastAsia="hr-HR"/>
              </w:rPr>
              <w:t>IZVJEŠTAJ O ZADUŽIVANJU NA DOMAĆEM I STRANOM TRŽIŠTU NOVCA I KAPITALA</w:t>
            </w:r>
            <w:r w:rsidRPr="005354CF">
              <w:rPr>
                <w:rFonts w:cstheme="minorHAnsi"/>
                <w:noProof/>
                <w:webHidden/>
                <w:sz w:val="22"/>
                <w:szCs w:val="22"/>
              </w:rPr>
              <w:tab/>
            </w:r>
            <w:r w:rsidRPr="005354CF">
              <w:rPr>
                <w:rFonts w:cstheme="minorHAnsi"/>
                <w:noProof/>
                <w:webHidden/>
                <w:sz w:val="22"/>
                <w:szCs w:val="22"/>
              </w:rPr>
              <w:fldChar w:fldCharType="begin"/>
            </w:r>
            <w:r w:rsidRPr="005354CF">
              <w:rPr>
                <w:rFonts w:cstheme="minorHAnsi"/>
                <w:noProof/>
                <w:webHidden/>
                <w:sz w:val="22"/>
                <w:szCs w:val="22"/>
              </w:rPr>
              <w:instrText xml:space="preserve"> PAGEREF _Toc209436514 \h </w:instrText>
            </w:r>
            <w:r w:rsidRPr="005354CF">
              <w:rPr>
                <w:rFonts w:cstheme="minorHAnsi"/>
                <w:noProof/>
                <w:webHidden/>
                <w:sz w:val="22"/>
                <w:szCs w:val="22"/>
              </w:rPr>
            </w:r>
            <w:r w:rsidRPr="005354CF">
              <w:rPr>
                <w:rFonts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5354CF">
              <w:rPr>
                <w:rFonts w:cstheme="minorHAnsi"/>
                <w:noProof/>
                <w:webHidden/>
                <w:sz w:val="22"/>
                <w:szCs w:val="22"/>
              </w:rPr>
              <w:t>12</w:t>
            </w:r>
            <w:r w:rsidRPr="005354CF">
              <w:rPr>
                <w:rFonts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5FDA1C3" w14:textId="4B398203" w:rsidR="005354CF" w:rsidRPr="005354CF" w:rsidRDefault="005354CF">
          <w:pPr>
            <w:pStyle w:val="Sadraj2"/>
            <w:rPr>
              <w:rFonts w:cstheme="minorHAnsi"/>
              <w:noProof/>
              <w:sz w:val="22"/>
              <w:szCs w:val="22"/>
              <w:lang w:val="hr-HR" w:eastAsia="hr-HR"/>
            </w:rPr>
          </w:pPr>
          <w:hyperlink w:anchor="_Toc209436515" w:history="1">
            <w:r w:rsidRPr="005354CF">
              <w:rPr>
                <w:rStyle w:val="Hiperveza"/>
                <w:rFonts w:cstheme="minorHAnsi"/>
                <w:b/>
                <w:caps/>
                <w:noProof/>
                <w:sz w:val="22"/>
                <w:szCs w:val="22"/>
              </w:rPr>
              <w:t>3.3.</w:t>
            </w:r>
            <w:r w:rsidRPr="005354CF">
              <w:rPr>
                <w:rFonts w:cstheme="minorHAnsi"/>
                <w:noProof/>
                <w:sz w:val="22"/>
                <w:szCs w:val="22"/>
                <w:lang w:val="hr-HR" w:eastAsia="hr-HR"/>
              </w:rPr>
              <w:tab/>
            </w:r>
            <w:r w:rsidRPr="005354CF">
              <w:rPr>
                <w:rStyle w:val="Hiperveza"/>
                <w:rFonts w:cstheme="minorHAnsi"/>
                <w:b/>
                <w:caps/>
                <w:noProof/>
                <w:sz w:val="22"/>
                <w:szCs w:val="22"/>
              </w:rPr>
              <w:t>IZVJEŠTAJ O DANIM JAMSTVIMA I IZDACIMA PO DANIM JAMSTVIMA</w:t>
            </w:r>
            <w:r w:rsidRPr="005354CF">
              <w:rPr>
                <w:rFonts w:cstheme="minorHAnsi"/>
                <w:noProof/>
                <w:webHidden/>
                <w:sz w:val="22"/>
                <w:szCs w:val="22"/>
              </w:rPr>
              <w:tab/>
            </w:r>
            <w:r w:rsidRPr="005354CF">
              <w:rPr>
                <w:rFonts w:cstheme="minorHAnsi"/>
                <w:noProof/>
                <w:webHidden/>
                <w:sz w:val="22"/>
                <w:szCs w:val="22"/>
              </w:rPr>
              <w:fldChar w:fldCharType="begin"/>
            </w:r>
            <w:r w:rsidRPr="005354CF">
              <w:rPr>
                <w:rFonts w:cstheme="minorHAnsi"/>
                <w:noProof/>
                <w:webHidden/>
                <w:sz w:val="22"/>
                <w:szCs w:val="22"/>
              </w:rPr>
              <w:instrText xml:space="preserve"> PAGEREF _Toc209436515 \h </w:instrText>
            </w:r>
            <w:r w:rsidRPr="005354CF">
              <w:rPr>
                <w:rFonts w:cstheme="minorHAnsi"/>
                <w:noProof/>
                <w:webHidden/>
                <w:sz w:val="22"/>
                <w:szCs w:val="22"/>
              </w:rPr>
            </w:r>
            <w:r w:rsidRPr="005354CF">
              <w:rPr>
                <w:rFonts w:cstheme="minorHAnsi"/>
                <w:noProof/>
                <w:webHidden/>
                <w:sz w:val="22"/>
                <w:szCs w:val="22"/>
              </w:rPr>
              <w:fldChar w:fldCharType="separate"/>
            </w:r>
            <w:r w:rsidRPr="005354CF">
              <w:rPr>
                <w:rFonts w:cstheme="minorHAnsi"/>
                <w:noProof/>
                <w:webHidden/>
                <w:sz w:val="22"/>
                <w:szCs w:val="22"/>
              </w:rPr>
              <w:t>12</w:t>
            </w:r>
            <w:r w:rsidRPr="005354CF">
              <w:rPr>
                <w:rFonts w:cstheme="minorHAnsi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0B578125" w14:textId="18BEAE85" w:rsidR="00DA6E26" w:rsidRPr="00781E6C" w:rsidRDefault="00781E6C" w:rsidP="00781E6C">
          <w:r>
            <w:rPr>
              <w:b/>
              <w:bCs/>
              <w:noProof/>
            </w:rPr>
            <w:fldChar w:fldCharType="end"/>
          </w:r>
        </w:p>
      </w:sdtContent>
    </w:sdt>
    <w:p w14:paraId="1C9D095B" w14:textId="77777777" w:rsidR="00DA6E26" w:rsidRPr="00000576" w:rsidRDefault="00DA6E26" w:rsidP="00000576">
      <w:pPr>
        <w:spacing w:before="0" w:after="120"/>
        <w:rPr>
          <w:rFonts w:cstheme="minorHAnsi"/>
          <w:b/>
          <w:spacing w:val="20"/>
          <w:sz w:val="22"/>
          <w:szCs w:val="22"/>
        </w:rPr>
        <w:sectPr w:rsidR="00DA6E26" w:rsidRPr="00000576" w:rsidSect="00DA6E26">
          <w:footerReference w:type="default" r:id="rId9"/>
          <w:pgSz w:w="11906" w:h="16838"/>
          <w:pgMar w:top="720" w:right="720" w:bottom="720" w:left="720" w:header="708" w:footer="708" w:gutter="0"/>
          <w:cols w:space="708"/>
          <w:titlePg/>
          <w:docGrid w:linePitch="360"/>
        </w:sectPr>
      </w:pPr>
    </w:p>
    <w:p w14:paraId="0855865F" w14:textId="77777777" w:rsidR="003E3931" w:rsidRPr="00000576" w:rsidRDefault="003E3931" w:rsidP="00165728">
      <w:pPr>
        <w:pStyle w:val="Naslov1"/>
        <w:numPr>
          <w:ilvl w:val="0"/>
          <w:numId w:val="4"/>
        </w:numPr>
        <w:spacing w:before="0" w:after="120"/>
        <w:rPr>
          <w:rFonts w:cstheme="minorHAnsi"/>
          <w:b/>
        </w:rPr>
      </w:pPr>
      <w:bookmarkStart w:id="5" w:name="_Toc209436490"/>
      <w:r w:rsidRPr="00000576">
        <w:rPr>
          <w:rFonts w:cstheme="minorHAnsi"/>
          <w:b/>
        </w:rPr>
        <w:lastRenderedPageBreak/>
        <w:t>UVOD</w:t>
      </w:r>
      <w:bookmarkEnd w:id="5"/>
    </w:p>
    <w:p w14:paraId="08F349B4" w14:textId="446C6DFF" w:rsidR="00023CB8" w:rsidRPr="00023CB8" w:rsidRDefault="00023CB8" w:rsidP="00023CB8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023CB8">
        <w:rPr>
          <w:rFonts w:cstheme="minorHAnsi"/>
          <w:sz w:val="22"/>
          <w:szCs w:val="22"/>
        </w:rPr>
        <w:t xml:space="preserve">Odredbom članka </w:t>
      </w:r>
      <w:r w:rsidR="00471FBC">
        <w:rPr>
          <w:rFonts w:cstheme="minorHAnsi"/>
          <w:sz w:val="22"/>
          <w:szCs w:val="22"/>
        </w:rPr>
        <w:t>8</w:t>
      </w:r>
      <w:r w:rsidR="009A702F">
        <w:rPr>
          <w:rFonts w:cstheme="minorHAnsi"/>
          <w:sz w:val="22"/>
          <w:szCs w:val="22"/>
        </w:rPr>
        <w:t>8</w:t>
      </w:r>
      <w:r w:rsidRPr="00023CB8">
        <w:rPr>
          <w:rFonts w:cstheme="minorHAnsi"/>
          <w:sz w:val="22"/>
          <w:szCs w:val="22"/>
        </w:rPr>
        <w:t>. Zakon</w:t>
      </w:r>
      <w:r w:rsidR="00471FBC">
        <w:rPr>
          <w:rFonts w:cstheme="minorHAnsi"/>
          <w:sz w:val="22"/>
          <w:szCs w:val="22"/>
        </w:rPr>
        <w:t>a</w:t>
      </w:r>
      <w:r w:rsidRPr="00023CB8">
        <w:rPr>
          <w:rFonts w:cstheme="minorHAnsi"/>
          <w:sz w:val="22"/>
          <w:szCs w:val="22"/>
        </w:rPr>
        <w:t xml:space="preserve"> o proračunu (Narodne novine br. </w:t>
      </w:r>
      <w:r w:rsidR="00471FBC">
        <w:rPr>
          <w:rFonts w:cstheme="minorHAnsi"/>
          <w:sz w:val="22"/>
          <w:szCs w:val="22"/>
        </w:rPr>
        <w:t>144/21</w:t>
      </w:r>
      <w:r w:rsidRPr="00023CB8">
        <w:rPr>
          <w:rFonts w:cstheme="minorHAnsi"/>
          <w:sz w:val="22"/>
          <w:szCs w:val="22"/>
        </w:rPr>
        <w:t xml:space="preserve">), utvrđena je obveza </w:t>
      </w:r>
      <w:r w:rsidR="00471FBC">
        <w:rPr>
          <w:rFonts w:cstheme="minorHAnsi"/>
          <w:sz w:val="22"/>
          <w:szCs w:val="22"/>
        </w:rPr>
        <w:t>općinskog načelnika</w:t>
      </w:r>
      <w:r w:rsidRPr="00023CB8">
        <w:rPr>
          <w:rFonts w:cstheme="minorHAnsi"/>
          <w:sz w:val="22"/>
          <w:szCs w:val="22"/>
        </w:rPr>
        <w:t xml:space="preserve"> da podnese prijedlog </w:t>
      </w:r>
      <w:r w:rsidR="009A702F">
        <w:rPr>
          <w:rFonts w:cstheme="minorHAnsi"/>
          <w:sz w:val="22"/>
          <w:szCs w:val="22"/>
        </w:rPr>
        <w:t>polu</w:t>
      </w:r>
      <w:r w:rsidRPr="00023CB8">
        <w:rPr>
          <w:rFonts w:cstheme="minorHAnsi"/>
          <w:sz w:val="22"/>
          <w:szCs w:val="22"/>
        </w:rPr>
        <w:t xml:space="preserve">godišnjeg izvješća o izvršenju proračuna za tekuću godinu predstavničkom tijelu na donošenje, najkasnije do </w:t>
      </w:r>
      <w:r w:rsidR="00471FBC">
        <w:rPr>
          <w:rFonts w:cstheme="minorHAnsi"/>
          <w:sz w:val="22"/>
          <w:szCs w:val="22"/>
        </w:rPr>
        <w:t>3</w:t>
      </w:r>
      <w:r w:rsidR="009A702F">
        <w:rPr>
          <w:rFonts w:cstheme="minorHAnsi"/>
          <w:sz w:val="22"/>
          <w:szCs w:val="22"/>
        </w:rPr>
        <w:t>0</w:t>
      </w:r>
      <w:r w:rsidRPr="00023CB8">
        <w:rPr>
          <w:rFonts w:cstheme="minorHAnsi"/>
          <w:sz w:val="22"/>
          <w:szCs w:val="22"/>
        </w:rPr>
        <w:t xml:space="preserve">. </w:t>
      </w:r>
      <w:r w:rsidR="009A702F">
        <w:rPr>
          <w:rFonts w:cstheme="minorHAnsi"/>
          <w:sz w:val="22"/>
          <w:szCs w:val="22"/>
        </w:rPr>
        <w:t>rujna</w:t>
      </w:r>
      <w:r w:rsidRPr="00023CB8">
        <w:rPr>
          <w:rFonts w:cstheme="minorHAnsi"/>
          <w:sz w:val="22"/>
          <w:szCs w:val="22"/>
        </w:rPr>
        <w:t xml:space="preserve"> tekuće godine.</w:t>
      </w:r>
    </w:p>
    <w:p w14:paraId="3E6A496A" w14:textId="2705E540" w:rsidR="00FE152E" w:rsidRPr="00000576" w:rsidRDefault="00FE152E" w:rsidP="00000576">
      <w:pPr>
        <w:spacing w:before="0" w:after="0" w:line="240" w:lineRule="auto"/>
        <w:jc w:val="both"/>
        <w:rPr>
          <w:rFonts w:cstheme="minorHAnsi"/>
          <w:sz w:val="22"/>
          <w:szCs w:val="22"/>
        </w:rPr>
      </w:pPr>
      <w:r w:rsidRPr="00000576">
        <w:rPr>
          <w:rFonts w:cstheme="minorHAnsi"/>
          <w:sz w:val="22"/>
          <w:szCs w:val="22"/>
        </w:rPr>
        <w:t>Člankom 4. Pravilnika o polugodišnjem i godišnjem izvještaju o izvršenju proračuna</w:t>
      </w:r>
      <w:r w:rsidR="009A702F">
        <w:rPr>
          <w:rFonts w:cstheme="minorHAnsi"/>
          <w:sz w:val="22"/>
          <w:szCs w:val="22"/>
        </w:rPr>
        <w:t xml:space="preserve"> i financijskog plana (Narodne novine, broj 85/23)</w:t>
      </w:r>
      <w:r w:rsidRPr="00000576">
        <w:rPr>
          <w:rFonts w:cstheme="minorHAnsi"/>
          <w:sz w:val="22"/>
          <w:szCs w:val="22"/>
        </w:rPr>
        <w:t xml:space="preserve">, utvrđeno je da </w:t>
      </w:r>
      <w:r w:rsidR="00023CB8">
        <w:rPr>
          <w:rFonts w:cstheme="minorHAnsi"/>
          <w:sz w:val="22"/>
          <w:szCs w:val="22"/>
        </w:rPr>
        <w:t>polu</w:t>
      </w:r>
      <w:r w:rsidRPr="00000576">
        <w:rPr>
          <w:rFonts w:cstheme="minorHAnsi"/>
          <w:sz w:val="22"/>
          <w:szCs w:val="22"/>
        </w:rPr>
        <w:t xml:space="preserve">godišnji izvještaj o izvršenju proračuna sadrži: </w:t>
      </w:r>
    </w:p>
    <w:p w14:paraId="303B7A57" w14:textId="384E61D4" w:rsidR="00FE152E" w:rsidRPr="00000576" w:rsidRDefault="00FE152E" w:rsidP="00165728">
      <w:pPr>
        <w:pStyle w:val="Odlomakpopisa"/>
        <w:numPr>
          <w:ilvl w:val="0"/>
          <w:numId w:val="3"/>
        </w:numPr>
        <w:spacing w:before="0" w:after="0" w:line="240" w:lineRule="auto"/>
        <w:contextualSpacing w:val="0"/>
        <w:jc w:val="both"/>
        <w:rPr>
          <w:rFonts w:cstheme="minorHAnsi"/>
          <w:sz w:val="22"/>
          <w:szCs w:val="22"/>
        </w:rPr>
      </w:pPr>
      <w:r w:rsidRPr="00000576">
        <w:rPr>
          <w:rFonts w:cstheme="minorHAnsi"/>
          <w:sz w:val="22"/>
          <w:szCs w:val="22"/>
        </w:rPr>
        <w:t xml:space="preserve">opći dio </w:t>
      </w:r>
      <w:r w:rsidR="009A702F">
        <w:rPr>
          <w:rFonts w:cstheme="minorHAnsi"/>
          <w:sz w:val="22"/>
          <w:szCs w:val="22"/>
        </w:rPr>
        <w:t>(sažetak, r</w:t>
      </w:r>
      <w:r w:rsidRPr="00000576">
        <w:rPr>
          <w:rFonts w:cstheme="minorHAnsi"/>
          <w:sz w:val="22"/>
          <w:szCs w:val="22"/>
        </w:rPr>
        <w:t xml:space="preserve">ačun prihoda i rashoda i </w:t>
      </w:r>
      <w:r w:rsidR="009A702F">
        <w:rPr>
          <w:rFonts w:cstheme="minorHAnsi"/>
          <w:sz w:val="22"/>
          <w:szCs w:val="22"/>
        </w:rPr>
        <w:t>r</w:t>
      </w:r>
      <w:r w:rsidRPr="00000576">
        <w:rPr>
          <w:rFonts w:cstheme="minorHAnsi"/>
          <w:sz w:val="22"/>
          <w:szCs w:val="22"/>
        </w:rPr>
        <w:t>ačun financiranja</w:t>
      </w:r>
      <w:r w:rsidR="009A702F">
        <w:rPr>
          <w:rFonts w:cstheme="minorHAnsi"/>
          <w:sz w:val="22"/>
          <w:szCs w:val="22"/>
        </w:rPr>
        <w:t>)</w:t>
      </w:r>
    </w:p>
    <w:p w14:paraId="15787091" w14:textId="0725B2FD" w:rsidR="00FE152E" w:rsidRPr="00000576" w:rsidRDefault="00FE152E" w:rsidP="00165728">
      <w:pPr>
        <w:pStyle w:val="Odlomakpopisa"/>
        <w:numPr>
          <w:ilvl w:val="0"/>
          <w:numId w:val="3"/>
        </w:numPr>
        <w:spacing w:before="0" w:after="0" w:line="240" w:lineRule="auto"/>
        <w:contextualSpacing w:val="0"/>
        <w:jc w:val="both"/>
        <w:rPr>
          <w:rFonts w:cstheme="minorHAnsi"/>
          <w:sz w:val="22"/>
          <w:szCs w:val="22"/>
        </w:rPr>
      </w:pPr>
      <w:r w:rsidRPr="00000576">
        <w:rPr>
          <w:rFonts w:cstheme="minorHAnsi"/>
          <w:sz w:val="22"/>
          <w:szCs w:val="22"/>
        </w:rPr>
        <w:t xml:space="preserve">posebni dio </w:t>
      </w:r>
      <w:r w:rsidR="009A702F">
        <w:rPr>
          <w:rFonts w:cstheme="minorHAnsi"/>
          <w:sz w:val="22"/>
          <w:szCs w:val="22"/>
        </w:rPr>
        <w:t>(izvještaj</w:t>
      </w:r>
      <w:r w:rsidRPr="00000576">
        <w:rPr>
          <w:rFonts w:cstheme="minorHAnsi"/>
          <w:sz w:val="22"/>
          <w:szCs w:val="22"/>
        </w:rPr>
        <w:t xml:space="preserve"> po organizacijskoj i programskoj klasifikaciji</w:t>
      </w:r>
      <w:r w:rsidR="009A702F">
        <w:rPr>
          <w:rFonts w:cstheme="minorHAnsi"/>
          <w:sz w:val="22"/>
          <w:szCs w:val="22"/>
        </w:rPr>
        <w:t>)</w:t>
      </w:r>
      <w:r w:rsidRPr="00000576">
        <w:rPr>
          <w:rFonts w:cstheme="minorHAnsi"/>
          <w:sz w:val="22"/>
          <w:szCs w:val="22"/>
        </w:rPr>
        <w:t xml:space="preserve"> </w:t>
      </w:r>
    </w:p>
    <w:p w14:paraId="4C504117" w14:textId="215DC748" w:rsidR="009A702F" w:rsidRDefault="009A702F" w:rsidP="00165728">
      <w:pPr>
        <w:pStyle w:val="Odlomakpopisa"/>
        <w:numPr>
          <w:ilvl w:val="0"/>
          <w:numId w:val="3"/>
        </w:numPr>
        <w:spacing w:before="0" w:after="0" w:line="240" w:lineRule="auto"/>
        <w:contextualSpacing w:val="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obrazloženje (</w:t>
      </w:r>
      <w:r w:rsidRPr="00000576">
        <w:rPr>
          <w:rFonts w:cstheme="minorHAnsi"/>
          <w:sz w:val="22"/>
          <w:szCs w:val="22"/>
        </w:rPr>
        <w:t>ostvarenj</w:t>
      </w:r>
      <w:r>
        <w:rPr>
          <w:rFonts w:cstheme="minorHAnsi"/>
          <w:sz w:val="22"/>
          <w:szCs w:val="22"/>
        </w:rPr>
        <w:t>e</w:t>
      </w:r>
      <w:r w:rsidRPr="00000576">
        <w:rPr>
          <w:rFonts w:cstheme="minorHAnsi"/>
          <w:sz w:val="22"/>
          <w:szCs w:val="22"/>
        </w:rPr>
        <w:t xml:space="preserve"> prihoda i primitaka te rashoda i izdataka</w:t>
      </w:r>
      <w:r>
        <w:rPr>
          <w:rFonts w:cstheme="minorHAnsi"/>
          <w:sz w:val="22"/>
          <w:szCs w:val="22"/>
        </w:rPr>
        <w:t>)</w:t>
      </w:r>
    </w:p>
    <w:p w14:paraId="420B88D6" w14:textId="1E617CF0" w:rsidR="009A702F" w:rsidRPr="00000576" w:rsidRDefault="009A702F" w:rsidP="009A702F">
      <w:pPr>
        <w:pStyle w:val="Odlomakpopisa"/>
        <w:numPr>
          <w:ilvl w:val="0"/>
          <w:numId w:val="3"/>
        </w:numPr>
        <w:spacing w:before="0" w:after="120" w:line="240" w:lineRule="auto"/>
        <w:contextualSpacing w:val="0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posebne izvještaje (</w:t>
      </w:r>
      <w:r w:rsidRPr="00000576">
        <w:rPr>
          <w:rFonts w:cstheme="minorHAnsi"/>
          <w:sz w:val="22"/>
          <w:szCs w:val="22"/>
        </w:rPr>
        <w:t>izvještaj o korištenju proračunske zalihe</w:t>
      </w:r>
      <w:r>
        <w:rPr>
          <w:rFonts w:cstheme="minorHAnsi"/>
          <w:sz w:val="22"/>
          <w:szCs w:val="22"/>
        </w:rPr>
        <w:t>,</w:t>
      </w:r>
      <w:r w:rsidRPr="00000576">
        <w:rPr>
          <w:rFonts w:cstheme="minorHAnsi"/>
          <w:sz w:val="22"/>
          <w:szCs w:val="22"/>
        </w:rPr>
        <w:t xml:space="preserve"> izvještaj o zaduživanju na domaćem i stranom tržištu novca i kapitala </w:t>
      </w:r>
      <w:r>
        <w:rPr>
          <w:rFonts w:cstheme="minorHAnsi"/>
          <w:sz w:val="22"/>
          <w:szCs w:val="22"/>
        </w:rPr>
        <w:t>i</w:t>
      </w:r>
      <w:r w:rsidRPr="009A702F">
        <w:rPr>
          <w:rFonts w:cstheme="minorHAnsi"/>
          <w:sz w:val="22"/>
          <w:szCs w:val="22"/>
        </w:rPr>
        <w:t xml:space="preserve"> </w:t>
      </w:r>
      <w:r w:rsidRPr="00000576">
        <w:rPr>
          <w:rFonts w:cstheme="minorHAnsi"/>
          <w:sz w:val="22"/>
          <w:szCs w:val="22"/>
        </w:rPr>
        <w:t xml:space="preserve">izvještaj o danim jamstvima i </w:t>
      </w:r>
      <w:r>
        <w:rPr>
          <w:rFonts w:cstheme="minorHAnsi"/>
          <w:sz w:val="22"/>
          <w:szCs w:val="22"/>
        </w:rPr>
        <w:t>plaćanjima po protestiranim jamstvima)</w:t>
      </w:r>
    </w:p>
    <w:p w14:paraId="1A1720C7" w14:textId="5A33C281" w:rsidR="00043D16" w:rsidRPr="00000576" w:rsidRDefault="00043D16" w:rsidP="00000576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000576">
        <w:rPr>
          <w:rFonts w:cstheme="minorHAnsi"/>
          <w:sz w:val="22"/>
          <w:szCs w:val="22"/>
        </w:rPr>
        <w:t xml:space="preserve">U skladu sa zakonskom obvezom, sastavljen je </w:t>
      </w:r>
      <w:r w:rsidR="009A702F">
        <w:rPr>
          <w:rFonts w:cstheme="minorHAnsi"/>
          <w:sz w:val="22"/>
          <w:szCs w:val="22"/>
        </w:rPr>
        <w:t>Polug</w:t>
      </w:r>
      <w:r w:rsidRPr="00000576">
        <w:rPr>
          <w:rFonts w:cstheme="minorHAnsi"/>
          <w:sz w:val="22"/>
          <w:szCs w:val="22"/>
        </w:rPr>
        <w:t>odišnji izvještaj o izvršenju Proračuna.</w:t>
      </w:r>
    </w:p>
    <w:p w14:paraId="7BD8680C" w14:textId="7C62364D" w:rsidR="00023CB8" w:rsidRDefault="00DA487E" w:rsidP="00023CB8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DA487E">
        <w:rPr>
          <w:rFonts w:cstheme="minorHAnsi"/>
          <w:sz w:val="22"/>
          <w:szCs w:val="22"/>
        </w:rPr>
        <w:t>U nastavku ćemo usporediti polugodišnje ostvarenje Proračuna za 202</w:t>
      </w:r>
      <w:r w:rsidR="00B2523A">
        <w:rPr>
          <w:rFonts w:cstheme="minorHAnsi"/>
          <w:sz w:val="22"/>
          <w:szCs w:val="22"/>
        </w:rPr>
        <w:t>5</w:t>
      </w:r>
      <w:r w:rsidRPr="00DA487E">
        <w:rPr>
          <w:rFonts w:cstheme="minorHAnsi"/>
          <w:sz w:val="22"/>
          <w:szCs w:val="22"/>
        </w:rPr>
        <w:t xml:space="preserve">. godinu sa </w:t>
      </w:r>
      <w:r w:rsidR="006A2001">
        <w:rPr>
          <w:rFonts w:cstheme="minorHAnsi"/>
          <w:sz w:val="22"/>
          <w:szCs w:val="22"/>
        </w:rPr>
        <w:t>P</w:t>
      </w:r>
      <w:r w:rsidRPr="00DA487E">
        <w:rPr>
          <w:rFonts w:cstheme="minorHAnsi"/>
          <w:sz w:val="22"/>
          <w:szCs w:val="22"/>
        </w:rPr>
        <w:t>lanom za 202</w:t>
      </w:r>
      <w:r w:rsidR="00B2523A">
        <w:rPr>
          <w:rFonts w:cstheme="minorHAnsi"/>
          <w:sz w:val="22"/>
          <w:szCs w:val="22"/>
        </w:rPr>
        <w:t>5</w:t>
      </w:r>
      <w:r w:rsidRPr="00DA487E">
        <w:rPr>
          <w:rFonts w:cstheme="minorHAnsi"/>
          <w:sz w:val="22"/>
          <w:szCs w:val="22"/>
        </w:rPr>
        <w:t>. godinu, te sa polugodišnjim izvršenjem proračuna za 202</w:t>
      </w:r>
      <w:r w:rsidR="00B2523A">
        <w:rPr>
          <w:rFonts w:cstheme="minorHAnsi"/>
          <w:sz w:val="22"/>
          <w:szCs w:val="22"/>
        </w:rPr>
        <w:t>4</w:t>
      </w:r>
      <w:r w:rsidRPr="00DA487E">
        <w:rPr>
          <w:rFonts w:cstheme="minorHAnsi"/>
          <w:sz w:val="22"/>
          <w:szCs w:val="22"/>
        </w:rPr>
        <w:t>. godinu.</w:t>
      </w:r>
    </w:p>
    <w:p w14:paraId="3F962CCD" w14:textId="77777777" w:rsidR="00FE152E" w:rsidRPr="00000576" w:rsidRDefault="00FE152E" w:rsidP="00000576">
      <w:pPr>
        <w:spacing w:before="0" w:after="120" w:line="240" w:lineRule="auto"/>
        <w:jc w:val="both"/>
        <w:rPr>
          <w:rFonts w:cstheme="minorHAnsi"/>
          <w:b/>
          <w:sz w:val="22"/>
          <w:szCs w:val="22"/>
        </w:rPr>
      </w:pPr>
    </w:p>
    <w:p w14:paraId="148FD8AC" w14:textId="77777777" w:rsidR="00DE6F4E" w:rsidRPr="00817174" w:rsidRDefault="00DE6F4E" w:rsidP="00DE6F4E">
      <w:pPr>
        <w:pStyle w:val="Naslov1"/>
        <w:numPr>
          <w:ilvl w:val="0"/>
          <w:numId w:val="4"/>
        </w:numPr>
        <w:spacing w:before="0" w:after="120"/>
        <w:rPr>
          <w:rFonts w:asciiTheme="majorHAnsi" w:hAnsiTheme="majorHAnsi" w:cstheme="majorHAnsi"/>
          <w:b/>
        </w:rPr>
      </w:pPr>
      <w:bookmarkStart w:id="6" w:name="_Toc208403714"/>
      <w:bookmarkStart w:id="7" w:name="_Toc209436491"/>
      <w:r w:rsidRPr="00817174">
        <w:rPr>
          <w:rFonts w:asciiTheme="majorHAnsi" w:hAnsiTheme="majorHAnsi" w:cstheme="majorHAnsi"/>
          <w:b/>
        </w:rPr>
        <w:t>OBRAZLOŽENJE općeg dijela Polugodišnjeg izvještaja o izvršenju Proračuna</w:t>
      </w:r>
      <w:bookmarkEnd w:id="6"/>
      <w:bookmarkEnd w:id="7"/>
    </w:p>
    <w:p w14:paraId="228A29D7" w14:textId="53F77895" w:rsidR="003348CE" w:rsidRDefault="004D5A0D" w:rsidP="003348CE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D5A0D">
        <w:rPr>
          <w:rFonts w:cstheme="minorHAnsi"/>
          <w:sz w:val="22"/>
          <w:szCs w:val="22"/>
        </w:rPr>
        <w:t xml:space="preserve">Ukupni prihodi i primici u </w:t>
      </w:r>
      <w:r w:rsidR="00AF72B3">
        <w:rPr>
          <w:rFonts w:cstheme="minorHAnsi"/>
          <w:sz w:val="22"/>
          <w:szCs w:val="22"/>
        </w:rPr>
        <w:t xml:space="preserve">prvom polugodištu </w:t>
      </w:r>
      <w:r w:rsidRPr="004D5A0D">
        <w:rPr>
          <w:rFonts w:cstheme="minorHAnsi"/>
          <w:sz w:val="22"/>
          <w:szCs w:val="22"/>
        </w:rPr>
        <w:t>202</w:t>
      </w:r>
      <w:r w:rsidR="006266DA">
        <w:rPr>
          <w:rFonts w:cstheme="minorHAnsi"/>
          <w:sz w:val="22"/>
          <w:szCs w:val="22"/>
        </w:rPr>
        <w:t>5</w:t>
      </w:r>
      <w:r w:rsidRPr="004D5A0D">
        <w:rPr>
          <w:rFonts w:cstheme="minorHAnsi"/>
          <w:sz w:val="22"/>
          <w:szCs w:val="22"/>
        </w:rPr>
        <w:t>. godin</w:t>
      </w:r>
      <w:r w:rsidR="00AF72B3">
        <w:rPr>
          <w:rFonts w:cstheme="minorHAnsi"/>
          <w:sz w:val="22"/>
          <w:szCs w:val="22"/>
        </w:rPr>
        <w:t>e</w:t>
      </w:r>
      <w:r w:rsidRPr="004D5A0D">
        <w:rPr>
          <w:rFonts w:cstheme="minorHAnsi"/>
          <w:sz w:val="22"/>
          <w:szCs w:val="22"/>
        </w:rPr>
        <w:t xml:space="preserve"> ostvareni su u iznosu od </w:t>
      </w:r>
      <w:r w:rsidR="006266DA" w:rsidRPr="006266DA">
        <w:rPr>
          <w:rFonts w:cstheme="minorHAnsi"/>
          <w:sz w:val="22"/>
          <w:szCs w:val="22"/>
        </w:rPr>
        <w:t>399.103,06</w:t>
      </w:r>
      <w:r w:rsidR="00AF72B3">
        <w:rPr>
          <w:rFonts w:cstheme="minorHAnsi"/>
          <w:sz w:val="22"/>
          <w:szCs w:val="22"/>
        </w:rPr>
        <w:t xml:space="preserve"> eura</w:t>
      </w:r>
      <w:r w:rsidRPr="004D5A0D">
        <w:rPr>
          <w:rFonts w:cstheme="minorHAnsi"/>
          <w:sz w:val="22"/>
          <w:szCs w:val="22"/>
        </w:rPr>
        <w:t xml:space="preserve">, što u usporedbi sa </w:t>
      </w:r>
      <w:r w:rsidR="00AF72B3">
        <w:rPr>
          <w:rFonts w:cstheme="minorHAnsi"/>
          <w:sz w:val="22"/>
          <w:szCs w:val="22"/>
        </w:rPr>
        <w:t>prvim polugodištem 202</w:t>
      </w:r>
      <w:r w:rsidR="006266DA">
        <w:rPr>
          <w:rFonts w:cstheme="minorHAnsi"/>
          <w:sz w:val="22"/>
          <w:szCs w:val="22"/>
        </w:rPr>
        <w:t>4</w:t>
      </w:r>
      <w:r w:rsidR="00AF72B3">
        <w:rPr>
          <w:rFonts w:cstheme="minorHAnsi"/>
          <w:sz w:val="22"/>
          <w:szCs w:val="22"/>
        </w:rPr>
        <w:t>. godine</w:t>
      </w:r>
      <w:r w:rsidRPr="004D5A0D">
        <w:rPr>
          <w:rFonts w:cstheme="minorHAnsi"/>
          <w:sz w:val="22"/>
          <w:szCs w:val="22"/>
        </w:rPr>
        <w:t xml:space="preserve"> u kojoj su ostvareni ukupni prihodi i primici u iznosu od </w:t>
      </w:r>
      <w:r w:rsidR="006266DA" w:rsidRPr="006266DA">
        <w:rPr>
          <w:rFonts w:cstheme="minorHAnsi"/>
          <w:sz w:val="22"/>
          <w:szCs w:val="22"/>
        </w:rPr>
        <w:t>404.815,14</w:t>
      </w:r>
      <w:r w:rsidRPr="004D5A0D">
        <w:rPr>
          <w:rFonts w:cstheme="minorHAnsi"/>
          <w:sz w:val="22"/>
          <w:szCs w:val="22"/>
        </w:rPr>
        <w:t xml:space="preserve"> </w:t>
      </w:r>
      <w:r w:rsidR="00AF72B3">
        <w:rPr>
          <w:rFonts w:cstheme="minorHAnsi"/>
          <w:sz w:val="22"/>
          <w:szCs w:val="22"/>
        </w:rPr>
        <w:t>eura</w:t>
      </w:r>
      <w:r w:rsidRPr="004D5A0D">
        <w:rPr>
          <w:rFonts w:cstheme="minorHAnsi"/>
          <w:sz w:val="22"/>
          <w:szCs w:val="22"/>
        </w:rPr>
        <w:t xml:space="preserve"> predstavlja </w:t>
      </w:r>
      <w:r w:rsidR="006266DA">
        <w:rPr>
          <w:rFonts w:cstheme="minorHAnsi"/>
          <w:sz w:val="22"/>
          <w:szCs w:val="22"/>
        </w:rPr>
        <w:t>smanjenje</w:t>
      </w:r>
      <w:r w:rsidRPr="004D5A0D">
        <w:rPr>
          <w:rFonts w:cstheme="minorHAnsi"/>
          <w:sz w:val="22"/>
          <w:szCs w:val="22"/>
        </w:rPr>
        <w:t xml:space="preserve"> od </w:t>
      </w:r>
      <w:r w:rsidR="006266DA">
        <w:rPr>
          <w:rFonts w:cstheme="minorHAnsi"/>
          <w:sz w:val="22"/>
          <w:szCs w:val="22"/>
        </w:rPr>
        <w:t>1,41</w:t>
      </w:r>
      <w:r w:rsidR="003348CE">
        <w:rPr>
          <w:rFonts w:cstheme="minorHAnsi"/>
          <w:sz w:val="22"/>
          <w:szCs w:val="22"/>
        </w:rPr>
        <w:t>%.</w:t>
      </w:r>
    </w:p>
    <w:p w14:paraId="74F4152D" w14:textId="08275F2E" w:rsidR="008D30E5" w:rsidRPr="003348CE" w:rsidRDefault="004D5A0D" w:rsidP="003348CE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4D5A0D">
        <w:rPr>
          <w:rFonts w:cstheme="minorHAnsi"/>
          <w:sz w:val="22"/>
          <w:szCs w:val="22"/>
        </w:rPr>
        <w:t xml:space="preserve">Ukupni rashodi i izdaci u </w:t>
      </w:r>
      <w:r w:rsidR="00AF72B3">
        <w:rPr>
          <w:rFonts w:cstheme="minorHAnsi"/>
          <w:sz w:val="22"/>
          <w:szCs w:val="22"/>
        </w:rPr>
        <w:t xml:space="preserve">prvom polugodištu </w:t>
      </w:r>
      <w:r w:rsidRPr="004D5A0D">
        <w:rPr>
          <w:rFonts w:cstheme="minorHAnsi"/>
          <w:sz w:val="22"/>
          <w:szCs w:val="22"/>
        </w:rPr>
        <w:t>202</w:t>
      </w:r>
      <w:r w:rsidR="006266DA">
        <w:rPr>
          <w:rFonts w:cstheme="minorHAnsi"/>
          <w:sz w:val="22"/>
          <w:szCs w:val="22"/>
        </w:rPr>
        <w:t>5</w:t>
      </w:r>
      <w:r w:rsidRPr="004D5A0D">
        <w:rPr>
          <w:rFonts w:cstheme="minorHAnsi"/>
          <w:sz w:val="22"/>
          <w:szCs w:val="22"/>
        </w:rPr>
        <w:t>. godin</w:t>
      </w:r>
      <w:r w:rsidR="00AF72B3">
        <w:rPr>
          <w:rFonts w:cstheme="minorHAnsi"/>
          <w:sz w:val="22"/>
          <w:szCs w:val="22"/>
        </w:rPr>
        <w:t>e</w:t>
      </w:r>
      <w:r w:rsidRPr="004D5A0D">
        <w:rPr>
          <w:rFonts w:cstheme="minorHAnsi"/>
          <w:sz w:val="22"/>
          <w:szCs w:val="22"/>
        </w:rPr>
        <w:t xml:space="preserve"> ostvareni su u iznosu od </w:t>
      </w:r>
      <w:r w:rsidR="006266DA" w:rsidRPr="006266DA">
        <w:rPr>
          <w:rFonts w:cstheme="minorHAnsi"/>
          <w:sz w:val="22"/>
          <w:szCs w:val="22"/>
        </w:rPr>
        <w:t>383.574,01</w:t>
      </w:r>
      <w:r w:rsidR="00AF72B3">
        <w:rPr>
          <w:rFonts w:cstheme="minorHAnsi"/>
          <w:sz w:val="22"/>
          <w:szCs w:val="22"/>
        </w:rPr>
        <w:t xml:space="preserve"> eura</w:t>
      </w:r>
      <w:r w:rsidRPr="004D5A0D">
        <w:rPr>
          <w:rFonts w:cstheme="minorHAnsi"/>
          <w:sz w:val="22"/>
          <w:szCs w:val="22"/>
        </w:rPr>
        <w:t xml:space="preserve">, što je u odnosu na </w:t>
      </w:r>
      <w:r w:rsidR="00AF72B3">
        <w:rPr>
          <w:rFonts w:cstheme="minorHAnsi"/>
          <w:sz w:val="22"/>
          <w:szCs w:val="22"/>
        </w:rPr>
        <w:t xml:space="preserve">isto razdoblje </w:t>
      </w:r>
      <w:r w:rsidRPr="004D5A0D">
        <w:rPr>
          <w:rFonts w:cstheme="minorHAnsi"/>
          <w:sz w:val="22"/>
          <w:szCs w:val="22"/>
        </w:rPr>
        <w:t>20</w:t>
      </w:r>
      <w:r w:rsidR="00C85A6A">
        <w:rPr>
          <w:rFonts w:cstheme="minorHAnsi"/>
          <w:sz w:val="22"/>
          <w:szCs w:val="22"/>
        </w:rPr>
        <w:t>2</w:t>
      </w:r>
      <w:r w:rsidR="006266DA">
        <w:rPr>
          <w:rFonts w:cstheme="minorHAnsi"/>
          <w:sz w:val="22"/>
          <w:szCs w:val="22"/>
        </w:rPr>
        <w:t>4</w:t>
      </w:r>
      <w:r w:rsidRPr="004D5A0D">
        <w:rPr>
          <w:rFonts w:cstheme="minorHAnsi"/>
          <w:sz w:val="22"/>
          <w:szCs w:val="22"/>
        </w:rPr>
        <w:t>. godin</w:t>
      </w:r>
      <w:r w:rsidR="00AF72B3">
        <w:rPr>
          <w:rFonts w:cstheme="minorHAnsi"/>
          <w:sz w:val="22"/>
          <w:szCs w:val="22"/>
        </w:rPr>
        <w:t>e</w:t>
      </w:r>
      <w:r w:rsidRPr="004D5A0D">
        <w:rPr>
          <w:rFonts w:cstheme="minorHAnsi"/>
          <w:sz w:val="22"/>
          <w:szCs w:val="22"/>
        </w:rPr>
        <w:t xml:space="preserve"> </w:t>
      </w:r>
      <w:r w:rsidR="006266DA">
        <w:rPr>
          <w:rFonts w:cstheme="minorHAnsi"/>
          <w:sz w:val="22"/>
          <w:szCs w:val="22"/>
        </w:rPr>
        <w:t>smanjenje</w:t>
      </w:r>
      <w:r w:rsidRPr="004D5A0D">
        <w:rPr>
          <w:rFonts w:cstheme="minorHAnsi"/>
          <w:sz w:val="22"/>
          <w:szCs w:val="22"/>
        </w:rPr>
        <w:t xml:space="preserve"> od </w:t>
      </w:r>
      <w:r w:rsidR="006266DA">
        <w:rPr>
          <w:rFonts w:cstheme="minorHAnsi"/>
          <w:sz w:val="22"/>
          <w:szCs w:val="22"/>
        </w:rPr>
        <w:t>2,56</w:t>
      </w:r>
      <w:r w:rsidR="003348CE">
        <w:rPr>
          <w:rFonts w:cstheme="minorHAnsi"/>
          <w:sz w:val="22"/>
          <w:szCs w:val="22"/>
        </w:rPr>
        <w:t>%.</w:t>
      </w:r>
    </w:p>
    <w:p w14:paraId="572D50F9" w14:textId="207FC610" w:rsidR="00FD54B5" w:rsidRDefault="00FD54B5" w:rsidP="00FD54B5">
      <w:pPr>
        <w:spacing w:before="120" w:after="120" w:line="240" w:lineRule="auto"/>
        <w:jc w:val="both"/>
        <w:rPr>
          <w:rFonts w:cstheme="minorHAnsi"/>
          <w:sz w:val="22"/>
          <w:szCs w:val="22"/>
        </w:rPr>
      </w:pPr>
      <w:r w:rsidRPr="004D5A0D">
        <w:rPr>
          <w:rFonts w:cstheme="minorHAnsi"/>
          <w:sz w:val="22"/>
          <w:szCs w:val="22"/>
        </w:rPr>
        <w:t xml:space="preserve">U odnosu na </w:t>
      </w:r>
      <w:r w:rsidR="00393CA1">
        <w:rPr>
          <w:rFonts w:cstheme="minorHAnsi"/>
          <w:sz w:val="22"/>
          <w:szCs w:val="22"/>
        </w:rPr>
        <w:t>P</w:t>
      </w:r>
      <w:r w:rsidRPr="004D5A0D">
        <w:rPr>
          <w:rFonts w:cstheme="minorHAnsi"/>
          <w:sz w:val="22"/>
          <w:szCs w:val="22"/>
        </w:rPr>
        <w:t>lan za 202</w:t>
      </w:r>
      <w:r w:rsidR="006266DA">
        <w:rPr>
          <w:rFonts w:cstheme="minorHAnsi"/>
          <w:sz w:val="22"/>
          <w:szCs w:val="22"/>
        </w:rPr>
        <w:t>5</w:t>
      </w:r>
      <w:r w:rsidRPr="004D5A0D">
        <w:rPr>
          <w:rFonts w:cstheme="minorHAnsi"/>
          <w:sz w:val="22"/>
          <w:szCs w:val="22"/>
        </w:rPr>
        <w:t xml:space="preserve">. godinu, ostvareno je </w:t>
      </w:r>
      <w:r w:rsidR="006266DA">
        <w:rPr>
          <w:rFonts w:cstheme="minorHAnsi"/>
          <w:sz w:val="22"/>
          <w:szCs w:val="22"/>
        </w:rPr>
        <w:t>15,67</w:t>
      </w:r>
      <w:r w:rsidRPr="004D5A0D">
        <w:rPr>
          <w:rFonts w:cstheme="minorHAnsi"/>
          <w:sz w:val="22"/>
          <w:szCs w:val="22"/>
        </w:rPr>
        <w:t>% planiranih prihoda i primitaka</w:t>
      </w:r>
      <w:r>
        <w:rPr>
          <w:rFonts w:cstheme="minorHAnsi"/>
          <w:sz w:val="22"/>
          <w:szCs w:val="22"/>
        </w:rPr>
        <w:t xml:space="preserve">, te </w:t>
      </w:r>
      <w:r w:rsidR="006266DA">
        <w:rPr>
          <w:rFonts w:cstheme="minorHAnsi"/>
          <w:sz w:val="22"/>
          <w:szCs w:val="22"/>
        </w:rPr>
        <w:t>15,06</w:t>
      </w:r>
      <w:r w:rsidRPr="004D5A0D">
        <w:rPr>
          <w:rFonts w:cstheme="minorHAnsi"/>
          <w:sz w:val="22"/>
          <w:szCs w:val="22"/>
        </w:rPr>
        <w:t>% planiranih rashoda i izdataka.</w:t>
      </w:r>
      <w:r w:rsidRPr="00AF1F47">
        <w:rPr>
          <w:rFonts w:cstheme="minorHAnsi"/>
          <w:color w:val="FF0000"/>
          <w:sz w:val="22"/>
          <w:szCs w:val="22"/>
        </w:rPr>
        <w:t xml:space="preserve"> </w:t>
      </w:r>
      <w:r w:rsidR="00AF72B3" w:rsidRPr="00AF72B3">
        <w:rPr>
          <w:rFonts w:cstheme="minorHAnsi"/>
          <w:sz w:val="22"/>
          <w:szCs w:val="22"/>
        </w:rPr>
        <w:t>Postotak ostvarenja Proračuna je nizak, kao i svake godine, pošto se veći dio proračuna Općine Levanjska Varoš realizira u drugoj polovici godine.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649"/>
        <w:gridCol w:w="1295"/>
        <w:gridCol w:w="1274"/>
        <w:gridCol w:w="1352"/>
        <w:gridCol w:w="932"/>
        <w:gridCol w:w="944"/>
      </w:tblGrid>
      <w:tr w:rsidR="00B2523A" w:rsidRPr="00B2523A" w14:paraId="745FF06E" w14:textId="77777777" w:rsidTr="006266DA">
        <w:trPr>
          <w:trHeight w:val="227"/>
        </w:trPr>
        <w:tc>
          <w:tcPr>
            <w:tcW w:w="222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31FD62D0" w14:textId="77777777" w:rsidR="00B2523A" w:rsidRPr="00B2523A" w:rsidRDefault="00B2523A" w:rsidP="00B2523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O P I S</w:t>
            </w:r>
          </w:p>
        </w:tc>
        <w:tc>
          <w:tcPr>
            <w:tcW w:w="62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1D104D61" w14:textId="77777777" w:rsidR="00B2523A" w:rsidRDefault="00B2523A" w:rsidP="00B2523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Izvršenje</w:t>
            </w:r>
          </w:p>
          <w:p w14:paraId="60C4A3F8" w14:textId="2481A7D5" w:rsidR="00B2523A" w:rsidRPr="00B2523A" w:rsidRDefault="00B2523A" w:rsidP="00B2523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I-VI 2024.</w:t>
            </w:r>
          </w:p>
        </w:tc>
        <w:tc>
          <w:tcPr>
            <w:tcW w:w="61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72D35C33" w14:textId="77777777" w:rsidR="00B2523A" w:rsidRPr="00B2523A" w:rsidRDefault="00B2523A" w:rsidP="00B2523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Proračun 2025.</w:t>
            </w:r>
          </w:p>
        </w:tc>
        <w:tc>
          <w:tcPr>
            <w:tcW w:w="647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4E77A9AF" w14:textId="77777777" w:rsidR="00B2523A" w:rsidRDefault="00B2523A" w:rsidP="00B2523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Izvršenje </w:t>
            </w:r>
          </w:p>
          <w:p w14:paraId="3184FB14" w14:textId="15754228" w:rsidR="00B2523A" w:rsidRPr="00B2523A" w:rsidRDefault="00B2523A" w:rsidP="00B2523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I-VI 2025.</w:t>
            </w:r>
          </w:p>
        </w:tc>
        <w:tc>
          <w:tcPr>
            <w:tcW w:w="44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  <w:hideMark/>
          </w:tcPr>
          <w:p w14:paraId="55A0ED21" w14:textId="77777777" w:rsidR="00B2523A" w:rsidRPr="00B2523A" w:rsidRDefault="00B2523A" w:rsidP="00B2523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Indeks (4/2*100)</w:t>
            </w:r>
          </w:p>
        </w:tc>
        <w:tc>
          <w:tcPr>
            <w:tcW w:w="452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7E6E6" w:themeFill="background2"/>
            <w:vAlign w:val="center"/>
            <w:hideMark/>
          </w:tcPr>
          <w:p w14:paraId="19B5F40A" w14:textId="77777777" w:rsidR="00B2523A" w:rsidRPr="00B2523A" w:rsidRDefault="00B2523A" w:rsidP="00B2523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Indeks (4/3*100)</w:t>
            </w:r>
          </w:p>
        </w:tc>
      </w:tr>
      <w:tr w:rsidR="00B2523A" w:rsidRPr="00B2523A" w14:paraId="0C27309B" w14:textId="77777777" w:rsidTr="006266DA">
        <w:trPr>
          <w:trHeight w:val="227"/>
        </w:trPr>
        <w:tc>
          <w:tcPr>
            <w:tcW w:w="222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E7E6E6" w:themeFill="background2"/>
            <w:vAlign w:val="center"/>
            <w:hideMark/>
          </w:tcPr>
          <w:p w14:paraId="1F97B322" w14:textId="77777777" w:rsidR="00B2523A" w:rsidRPr="00B2523A" w:rsidRDefault="00B2523A" w:rsidP="00B2523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bottom"/>
            <w:hideMark/>
          </w:tcPr>
          <w:p w14:paraId="19BFECE8" w14:textId="77777777" w:rsidR="00B2523A" w:rsidRPr="00B2523A" w:rsidRDefault="00B2523A" w:rsidP="00B2523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bottom"/>
            <w:hideMark/>
          </w:tcPr>
          <w:p w14:paraId="72F033AE" w14:textId="77777777" w:rsidR="00B2523A" w:rsidRPr="00B2523A" w:rsidRDefault="00B2523A" w:rsidP="00B2523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bottom"/>
            <w:hideMark/>
          </w:tcPr>
          <w:p w14:paraId="03FB8B48" w14:textId="77777777" w:rsidR="00B2523A" w:rsidRPr="00B2523A" w:rsidRDefault="00B2523A" w:rsidP="00B2523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vAlign w:val="bottom"/>
            <w:hideMark/>
          </w:tcPr>
          <w:p w14:paraId="641B0060" w14:textId="77777777" w:rsidR="00B2523A" w:rsidRPr="00B2523A" w:rsidRDefault="00B2523A" w:rsidP="00B2523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bottom"/>
            <w:hideMark/>
          </w:tcPr>
          <w:p w14:paraId="7AEA5E0E" w14:textId="77777777" w:rsidR="00B2523A" w:rsidRPr="00B2523A" w:rsidRDefault="00B2523A" w:rsidP="00B2523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</w:tr>
      <w:tr w:rsidR="00B2523A" w:rsidRPr="00B2523A" w14:paraId="77C48FB3" w14:textId="77777777" w:rsidTr="006266DA">
        <w:trPr>
          <w:trHeight w:val="227"/>
        </w:trPr>
        <w:tc>
          <w:tcPr>
            <w:tcW w:w="222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8064FA" w14:textId="77777777" w:rsidR="00B2523A" w:rsidRPr="00B2523A" w:rsidRDefault="00B2523A" w:rsidP="00B2523A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AEAD47" w14:textId="77777777" w:rsidR="00B2523A" w:rsidRPr="00B2523A" w:rsidRDefault="00B2523A" w:rsidP="00B2523A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3A4A32" w14:textId="77777777" w:rsidR="00B2523A" w:rsidRPr="00B2523A" w:rsidRDefault="00B2523A" w:rsidP="00B2523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3D2BFE" w14:textId="77777777" w:rsidR="00B2523A" w:rsidRPr="00B2523A" w:rsidRDefault="00B2523A" w:rsidP="00B2523A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CD8238" w14:textId="77777777" w:rsidR="00B2523A" w:rsidRPr="00B2523A" w:rsidRDefault="00B2523A" w:rsidP="00B2523A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5097B1B" w14:textId="77777777" w:rsidR="00B2523A" w:rsidRPr="00B2523A" w:rsidRDefault="00B2523A" w:rsidP="00B2523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2523A" w:rsidRPr="00B2523A" w14:paraId="65E50419" w14:textId="77777777" w:rsidTr="006266DA">
        <w:trPr>
          <w:trHeight w:val="227"/>
        </w:trPr>
        <w:tc>
          <w:tcPr>
            <w:tcW w:w="222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4AC9BE83" w14:textId="77777777" w:rsidR="00B2523A" w:rsidRPr="00B2523A" w:rsidRDefault="00B2523A" w:rsidP="00B2523A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A. UKUPNI PRIHODI I PRIMICI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389E846D" w14:textId="77777777" w:rsidR="00B2523A" w:rsidRPr="00B2523A" w:rsidRDefault="00B2523A" w:rsidP="00B252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404.815,14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344B2576" w14:textId="77777777" w:rsidR="00B2523A" w:rsidRPr="00B2523A" w:rsidRDefault="00B2523A" w:rsidP="00B252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2.547.000,00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41E8EDDE" w14:textId="77777777" w:rsidR="00B2523A" w:rsidRPr="00B2523A" w:rsidRDefault="00B2523A" w:rsidP="00B252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399.103,06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1FFA3ADD" w14:textId="77777777" w:rsidR="00B2523A" w:rsidRPr="00B2523A" w:rsidRDefault="00B2523A" w:rsidP="00B252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98,59%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14:paraId="5DB0E243" w14:textId="77777777" w:rsidR="00B2523A" w:rsidRPr="00B2523A" w:rsidRDefault="00B2523A" w:rsidP="00B252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15,67%</w:t>
            </w:r>
          </w:p>
        </w:tc>
      </w:tr>
      <w:tr w:rsidR="00B2523A" w:rsidRPr="00B2523A" w14:paraId="024BE650" w14:textId="77777777" w:rsidTr="006266DA">
        <w:trPr>
          <w:trHeight w:val="227"/>
        </w:trPr>
        <w:tc>
          <w:tcPr>
            <w:tcW w:w="222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DB122B" w14:textId="77777777" w:rsidR="00B2523A" w:rsidRPr="00B2523A" w:rsidRDefault="00B2523A" w:rsidP="00B2523A">
            <w:pPr>
              <w:spacing w:before="0"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UKUPNO PRIHODA  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54C25A" w14:textId="77777777" w:rsidR="00B2523A" w:rsidRPr="00B2523A" w:rsidRDefault="00B2523A" w:rsidP="00B252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394.815,14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B0E284" w14:textId="77777777" w:rsidR="00B2523A" w:rsidRPr="00B2523A" w:rsidRDefault="00B2523A" w:rsidP="00B252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2.472.000,00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AEECA7B" w14:textId="77777777" w:rsidR="00B2523A" w:rsidRPr="00B2523A" w:rsidRDefault="00B2523A" w:rsidP="00B252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309.103,06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DA9312" w14:textId="77777777" w:rsidR="00B2523A" w:rsidRPr="00B2523A" w:rsidRDefault="00B2523A" w:rsidP="00B252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78,29%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D48F0D4" w14:textId="77777777" w:rsidR="00B2523A" w:rsidRPr="00B2523A" w:rsidRDefault="00B2523A" w:rsidP="00B252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12,50%</w:t>
            </w:r>
          </w:p>
        </w:tc>
      </w:tr>
      <w:tr w:rsidR="00B2523A" w:rsidRPr="00B2523A" w14:paraId="28902D54" w14:textId="77777777" w:rsidTr="006266DA">
        <w:trPr>
          <w:trHeight w:val="227"/>
        </w:trPr>
        <w:tc>
          <w:tcPr>
            <w:tcW w:w="222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CF30C1" w14:textId="77777777" w:rsidR="00B2523A" w:rsidRPr="00B2523A" w:rsidRDefault="00B2523A" w:rsidP="00B2523A">
            <w:pPr>
              <w:spacing w:before="0"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color w:val="000000"/>
                <w:lang w:eastAsia="hr-HR"/>
              </w:rPr>
              <w:t>Prihodi poslovanja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8E1D9B" w14:textId="77777777" w:rsidR="00B2523A" w:rsidRPr="00B2523A" w:rsidRDefault="00B2523A" w:rsidP="00B252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color w:val="000000"/>
                <w:lang w:eastAsia="hr-HR"/>
              </w:rPr>
              <w:t>382.245,07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128458" w14:textId="77777777" w:rsidR="00B2523A" w:rsidRPr="00B2523A" w:rsidRDefault="00B2523A" w:rsidP="00B252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color w:val="000000"/>
                <w:lang w:eastAsia="hr-HR"/>
              </w:rPr>
              <w:t>1.010.000,00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6C1748" w14:textId="77777777" w:rsidR="00B2523A" w:rsidRPr="00B2523A" w:rsidRDefault="00B2523A" w:rsidP="00B252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color w:val="000000"/>
                <w:lang w:eastAsia="hr-HR"/>
              </w:rPr>
              <w:t>308.647,38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C613E7" w14:textId="77777777" w:rsidR="00B2523A" w:rsidRPr="00B2523A" w:rsidRDefault="00B2523A" w:rsidP="00B252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color w:val="000000"/>
                <w:lang w:eastAsia="hr-HR"/>
              </w:rPr>
              <w:t>80,75%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F64A60" w14:textId="77777777" w:rsidR="00B2523A" w:rsidRPr="00B2523A" w:rsidRDefault="00B2523A" w:rsidP="00B252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color w:val="000000"/>
                <w:lang w:eastAsia="hr-HR"/>
              </w:rPr>
              <w:t>30,56%</w:t>
            </w:r>
          </w:p>
        </w:tc>
      </w:tr>
      <w:tr w:rsidR="00B2523A" w:rsidRPr="00B2523A" w14:paraId="7EADE36B" w14:textId="77777777" w:rsidTr="006266DA">
        <w:trPr>
          <w:trHeight w:val="227"/>
        </w:trPr>
        <w:tc>
          <w:tcPr>
            <w:tcW w:w="222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27AAEF" w14:textId="77777777" w:rsidR="00B2523A" w:rsidRPr="00B2523A" w:rsidRDefault="00B2523A" w:rsidP="00B2523A">
            <w:pPr>
              <w:spacing w:before="0"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color w:val="000000"/>
                <w:lang w:eastAsia="hr-HR"/>
              </w:rPr>
              <w:t>Prihodi od prodaje nefinancijske imovine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D56E3D" w14:textId="77777777" w:rsidR="00B2523A" w:rsidRPr="00B2523A" w:rsidRDefault="00B2523A" w:rsidP="00B252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color w:val="000000"/>
                <w:lang w:eastAsia="hr-HR"/>
              </w:rPr>
              <w:t>12.570,07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F2E4B7" w14:textId="77777777" w:rsidR="00B2523A" w:rsidRPr="00B2523A" w:rsidRDefault="00B2523A" w:rsidP="00B252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color w:val="000000"/>
                <w:lang w:eastAsia="hr-HR"/>
              </w:rPr>
              <w:t>1.462.000,00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3D100E" w14:textId="77777777" w:rsidR="00B2523A" w:rsidRPr="00B2523A" w:rsidRDefault="00B2523A" w:rsidP="00B252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color w:val="000000"/>
                <w:lang w:eastAsia="hr-HR"/>
              </w:rPr>
              <w:t>455,68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9DBF2E" w14:textId="77777777" w:rsidR="00B2523A" w:rsidRPr="00B2523A" w:rsidRDefault="00B2523A" w:rsidP="00B252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color w:val="000000"/>
                <w:lang w:eastAsia="hr-HR"/>
              </w:rPr>
              <w:t>3,63%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4BC163C" w14:textId="77777777" w:rsidR="00B2523A" w:rsidRPr="00B2523A" w:rsidRDefault="00B2523A" w:rsidP="00B252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color w:val="000000"/>
                <w:lang w:eastAsia="hr-HR"/>
              </w:rPr>
              <w:t>0,03%</w:t>
            </w:r>
          </w:p>
        </w:tc>
      </w:tr>
      <w:tr w:rsidR="00B2523A" w:rsidRPr="00B2523A" w14:paraId="5DA3B7C1" w14:textId="77777777" w:rsidTr="006266DA">
        <w:trPr>
          <w:trHeight w:val="227"/>
        </w:trPr>
        <w:tc>
          <w:tcPr>
            <w:tcW w:w="222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FA8817" w14:textId="77777777" w:rsidR="00B2523A" w:rsidRPr="00B2523A" w:rsidRDefault="00B2523A" w:rsidP="00B2523A">
            <w:pPr>
              <w:spacing w:before="0"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PRIMICI OD FINANCIJSKE IMOVINE I ZADUŽIVANJA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943BCE2" w14:textId="77777777" w:rsidR="00B2523A" w:rsidRPr="00B2523A" w:rsidRDefault="00B2523A" w:rsidP="00B252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10.000,00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6B224E9" w14:textId="77777777" w:rsidR="00B2523A" w:rsidRPr="00B2523A" w:rsidRDefault="00B2523A" w:rsidP="00B252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75.000,00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3ECD64" w14:textId="77777777" w:rsidR="00B2523A" w:rsidRPr="00B2523A" w:rsidRDefault="00B2523A" w:rsidP="00B252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90.000,00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35A71DB" w14:textId="77777777" w:rsidR="00B2523A" w:rsidRPr="00B2523A" w:rsidRDefault="00B2523A" w:rsidP="00B252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900,00%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FCEDA91" w14:textId="77777777" w:rsidR="00B2523A" w:rsidRPr="00B2523A" w:rsidRDefault="00B2523A" w:rsidP="00B252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120,00%</w:t>
            </w:r>
          </w:p>
        </w:tc>
      </w:tr>
      <w:tr w:rsidR="00B2523A" w:rsidRPr="00B2523A" w14:paraId="35922062" w14:textId="77777777" w:rsidTr="006266DA">
        <w:trPr>
          <w:trHeight w:val="227"/>
        </w:trPr>
        <w:tc>
          <w:tcPr>
            <w:tcW w:w="222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CD411A" w14:textId="77777777" w:rsidR="00B2523A" w:rsidRPr="00B2523A" w:rsidRDefault="00B2523A" w:rsidP="00B2523A">
            <w:pPr>
              <w:spacing w:before="0"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47620E" w14:textId="77777777" w:rsidR="00B2523A" w:rsidRPr="00B2523A" w:rsidRDefault="00B2523A" w:rsidP="00B2523A">
            <w:pPr>
              <w:spacing w:before="0"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89843B" w14:textId="77777777" w:rsidR="00B2523A" w:rsidRPr="00B2523A" w:rsidRDefault="00B2523A" w:rsidP="00B2523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A2C0C5" w14:textId="77777777" w:rsidR="00B2523A" w:rsidRPr="00B2523A" w:rsidRDefault="00B2523A" w:rsidP="00B2523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CA30A4" w14:textId="77777777" w:rsidR="00B2523A" w:rsidRPr="00B2523A" w:rsidRDefault="00B2523A" w:rsidP="00B2523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DB8CCB4" w14:textId="77777777" w:rsidR="00B2523A" w:rsidRPr="00B2523A" w:rsidRDefault="00B2523A" w:rsidP="00B2523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2523A" w:rsidRPr="00B2523A" w14:paraId="2B7BDFF5" w14:textId="77777777" w:rsidTr="006266DA">
        <w:trPr>
          <w:trHeight w:val="227"/>
        </w:trPr>
        <w:tc>
          <w:tcPr>
            <w:tcW w:w="222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41F12758" w14:textId="77777777" w:rsidR="00B2523A" w:rsidRPr="00B2523A" w:rsidRDefault="00B2523A" w:rsidP="00B2523A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B. UKUPNI RASHODI I IZDACI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5B7F2958" w14:textId="77777777" w:rsidR="00B2523A" w:rsidRPr="00B2523A" w:rsidRDefault="00B2523A" w:rsidP="00B252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392.861,35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3861EEA9" w14:textId="77777777" w:rsidR="00B2523A" w:rsidRPr="00B2523A" w:rsidRDefault="00B2523A" w:rsidP="00B252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2.547.000,00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200D8D22" w14:textId="77777777" w:rsidR="00B2523A" w:rsidRPr="00B2523A" w:rsidRDefault="00B2523A" w:rsidP="00B252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383.574,01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42EC0C9F" w14:textId="77777777" w:rsidR="00B2523A" w:rsidRPr="00B2523A" w:rsidRDefault="00B2523A" w:rsidP="00B252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97,64%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14:paraId="74ACFD3C" w14:textId="77777777" w:rsidR="00B2523A" w:rsidRPr="00B2523A" w:rsidRDefault="00B2523A" w:rsidP="00B252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15,06%</w:t>
            </w:r>
          </w:p>
        </w:tc>
      </w:tr>
      <w:tr w:rsidR="00B2523A" w:rsidRPr="00B2523A" w14:paraId="12B941AA" w14:textId="77777777" w:rsidTr="006266DA">
        <w:trPr>
          <w:trHeight w:val="227"/>
        </w:trPr>
        <w:tc>
          <w:tcPr>
            <w:tcW w:w="222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4B88E7" w14:textId="77777777" w:rsidR="00B2523A" w:rsidRPr="00B2523A" w:rsidRDefault="00B2523A" w:rsidP="00B2523A">
            <w:pPr>
              <w:spacing w:before="0"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 RASHODA</w:t>
            </w:r>
          </w:p>
        </w:tc>
        <w:tc>
          <w:tcPr>
            <w:tcW w:w="62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ECFEA06" w14:textId="77777777" w:rsidR="00B2523A" w:rsidRPr="00B2523A" w:rsidRDefault="00B2523A" w:rsidP="00B252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358.795,20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951B56F" w14:textId="77777777" w:rsidR="00B2523A" w:rsidRPr="00B2523A" w:rsidRDefault="00B2523A" w:rsidP="00B252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1.882.000,00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EAA2136" w14:textId="77777777" w:rsidR="00B2523A" w:rsidRPr="00B2523A" w:rsidRDefault="00B2523A" w:rsidP="00B252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383.574,01</w:t>
            </w:r>
          </w:p>
        </w:tc>
        <w:tc>
          <w:tcPr>
            <w:tcW w:w="4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FC9162C" w14:textId="77777777" w:rsidR="00B2523A" w:rsidRPr="00B2523A" w:rsidRDefault="00B2523A" w:rsidP="00B252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106,91%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0644BB6" w14:textId="77777777" w:rsidR="00B2523A" w:rsidRPr="00B2523A" w:rsidRDefault="00B2523A" w:rsidP="00B252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20,38%</w:t>
            </w:r>
          </w:p>
        </w:tc>
      </w:tr>
      <w:tr w:rsidR="00B2523A" w:rsidRPr="00B2523A" w14:paraId="2A017593" w14:textId="77777777" w:rsidTr="006266DA">
        <w:trPr>
          <w:trHeight w:val="227"/>
        </w:trPr>
        <w:tc>
          <w:tcPr>
            <w:tcW w:w="222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18C13D" w14:textId="77777777" w:rsidR="00B2523A" w:rsidRPr="00B2523A" w:rsidRDefault="00B2523A" w:rsidP="00B2523A">
            <w:pPr>
              <w:spacing w:before="0"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color w:val="000000"/>
                <w:lang w:eastAsia="hr-HR"/>
              </w:rPr>
              <w:t>Rashodi poslovanja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BA40FE" w14:textId="77777777" w:rsidR="00B2523A" w:rsidRPr="00B2523A" w:rsidRDefault="00B2523A" w:rsidP="00B252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color w:val="000000"/>
                <w:lang w:eastAsia="hr-HR"/>
              </w:rPr>
              <w:t>194.532,42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5BFF1B" w14:textId="77777777" w:rsidR="00B2523A" w:rsidRPr="00B2523A" w:rsidRDefault="00B2523A" w:rsidP="00B252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color w:val="000000"/>
                <w:lang w:eastAsia="hr-HR"/>
              </w:rPr>
              <w:t>872.500,00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567671" w14:textId="77777777" w:rsidR="00B2523A" w:rsidRPr="00B2523A" w:rsidRDefault="00B2523A" w:rsidP="00B252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color w:val="000000"/>
                <w:lang w:eastAsia="hr-HR"/>
              </w:rPr>
              <w:t>326.543,16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0A9968" w14:textId="77777777" w:rsidR="00B2523A" w:rsidRPr="00B2523A" w:rsidRDefault="00B2523A" w:rsidP="00B252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color w:val="000000"/>
                <w:lang w:eastAsia="hr-HR"/>
              </w:rPr>
              <w:t>167,86%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ABE1C8" w14:textId="77777777" w:rsidR="00B2523A" w:rsidRPr="00B2523A" w:rsidRDefault="00B2523A" w:rsidP="00B252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color w:val="000000"/>
                <w:lang w:eastAsia="hr-HR"/>
              </w:rPr>
              <w:t>37,43%</w:t>
            </w:r>
          </w:p>
        </w:tc>
      </w:tr>
      <w:tr w:rsidR="00B2523A" w:rsidRPr="00B2523A" w14:paraId="6B6A088A" w14:textId="77777777" w:rsidTr="006266DA">
        <w:trPr>
          <w:trHeight w:val="227"/>
        </w:trPr>
        <w:tc>
          <w:tcPr>
            <w:tcW w:w="222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084732" w14:textId="77777777" w:rsidR="00B2523A" w:rsidRPr="00B2523A" w:rsidRDefault="00B2523A" w:rsidP="00B2523A">
            <w:pPr>
              <w:spacing w:before="0" w:after="0" w:line="240" w:lineRule="auto"/>
              <w:ind w:firstLineChars="200" w:firstLine="40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color w:val="000000"/>
                <w:lang w:eastAsia="hr-HR"/>
              </w:rPr>
              <w:t>Rashodi za nabavu nefinancijske imovine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A004E1" w14:textId="77777777" w:rsidR="00B2523A" w:rsidRPr="00B2523A" w:rsidRDefault="00B2523A" w:rsidP="00B252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color w:val="000000"/>
                <w:lang w:eastAsia="hr-HR"/>
              </w:rPr>
              <w:t>164.262,78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E82307" w14:textId="77777777" w:rsidR="00B2523A" w:rsidRPr="00B2523A" w:rsidRDefault="00B2523A" w:rsidP="00B252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color w:val="000000"/>
                <w:lang w:eastAsia="hr-HR"/>
              </w:rPr>
              <w:t>1.009.500,00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947D9E" w14:textId="77777777" w:rsidR="00B2523A" w:rsidRPr="00B2523A" w:rsidRDefault="00B2523A" w:rsidP="00B252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color w:val="000000"/>
                <w:lang w:eastAsia="hr-HR"/>
              </w:rPr>
              <w:t>57.030,85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A3C11C" w14:textId="77777777" w:rsidR="00B2523A" w:rsidRPr="00B2523A" w:rsidRDefault="00B2523A" w:rsidP="00B252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color w:val="000000"/>
                <w:lang w:eastAsia="hr-HR"/>
              </w:rPr>
              <w:t>34,72%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A34172D" w14:textId="77777777" w:rsidR="00B2523A" w:rsidRPr="00B2523A" w:rsidRDefault="00B2523A" w:rsidP="00B252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color w:val="000000"/>
                <w:lang w:eastAsia="hr-HR"/>
              </w:rPr>
              <w:t>5,65%</w:t>
            </w:r>
          </w:p>
        </w:tc>
      </w:tr>
      <w:tr w:rsidR="00B2523A" w:rsidRPr="00B2523A" w14:paraId="7C86B655" w14:textId="77777777" w:rsidTr="006266DA">
        <w:trPr>
          <w:trHeight w:val="227"/>
        </w:trPr>
        <w:tc>
          <w:tcPr>
            <w:tcW w:w="222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DD68540" w14:textId="77777777" w:rsidR="00B2523A" w:rsidRPr="00B2523A" w:rsidRDefault="00B2523A" w:rsidP="00B2523A">
            <w:pPr>
              <w:spacing w:before="0" w:after="0" w:line="240" w:lineRule="auto"/>
              <w:ind w:firstLineChars="100" w:firstLine="201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IZDACI ZA FINAN. IMOVINU I OTPLATE ZAJMOVA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9C2D07B" w14:textId="77777777" w:rsidR="00B2523A" w:rsidRPr="00B2523A" w:rsidRDefault="00B2523A" w:rsidP="00B252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34.066,15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1C4A533" w14:textId="77777777" w:rsidR="00B2523A" w:rsidRPr="00B2523A" w:rsidRDefault="00B2523A" w:rsidP="00B252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665.000,00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00256F1" w14:textId="77777777" w:rsidR="00B2523A" w:rsidRPr="00B2523A" w:rsidRDefault="00B2523A" w:rsidP="00B252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CE24FB" w14:textId="77777777" w:rsidR="00B2523A" w:rsidRPr="00B2523A" w:rsidRDefault="00B2523A" w:rsidP="00B252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0,00%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36D8B52" w14:textId="77777777" w:rsidR="00B2523A" w:rsidRPr="00B2523A" w:rsidRDefault="00B2523A" w:rsidP="00B252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0,00%</w:t>
            </w:r>
          </w:p>
        </w:tc>
      </w:tr>
      <w:tr w:rsidR="00B2523A" w:rsidRPr="00B2523A" w14:paraId="0A75670F" w14:textId="77777777" w:rsidTr="006266DA">
        <w:trPr>
          <w:trHeight w:val="227"/>
        </w:trPr>
        <w:tc>
          <w:tcPr>
            <w:tcW w:w="222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0DCA25" w14:textId="77777777" w:rsidR="00B2523A" w:rsidRPr="00B2523A" w:rsidRDefault="00B2523A" w:rsidP="00B2523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10E39A" w14:textId="77777777" w:rsidR="00B2523A" w:rsidRPr="00B2523A" w:rsidRDefault="00B2523A" w:rsidP="00B2523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F875F1" w14:textId="77777777" w:rsidR="00B2523A" w:rsidRPr="00B2523A" w:rsidRDefault="00B2523A" w:rsidP="00B2523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D18713" w14:textId="77777777" w:rsidR="00B2523A" w:rsidRPr="00B2523A" w:rsidRDefault="00B2523A" w:rsidP="00B2523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37CCBA" w14:textId="77777777" w:rsidR="00B2523A" w:rsidRPr="00B2523A" w:rsidRDefault="00B2523A" w:rsidP="00B2523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BB5D9E7" w14:textId="77777777" w:rsidR="00B2523A" w:rsidRPr="00B2523A" w:rsidRDefault="00B2523A" w:rsidP="00B2523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2523A" w:rsidRPr="00B2523A" w14:paraId="3BE6EFCA" w14:textId="77777777" w:rsidTr="006266DA">
        <w:trPr>
          <w:trHeight w:val="227"/>
        </w:trPr>
        <w:tc>
          <w:tcPr>
            <w:tcW w:w="222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54FF72E7" w14:textId="77777777" w:rsidR="00B2523A" w:rsidRPr="00B2523A" w:rsidRDefault="00B2523A" w:rsidP="00B2523A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RAZLIKA VIŠAK/MANJAK (A-B)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66E7FA8E" w14:textId="77777777" w:rsidR="00B2523A" w:rsidRPr="00B2523A" w:rsidRDefault="00B2523A" w:rsidP="00B252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11.953,79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6C841657" w14:textId="77777777" w:rsidR="00B2523A" w:rsidRPr="00B2523A" w:rsidRDefault="00B2523A" w:rsidP="00B252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2259F201" w14:textId="77777777" w:rsidR="00B2523A" w:rsidRPr="00B2523A" w:rsidRDefault="00B2523A" w:rsidP="00B252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15.529,05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6FA5E781" w14:textId="77777777" w:rsidR="00B2523A" w:rsidRPr="00B2523A" w:rsidRDefault="00B2523A" w:rsidP="00B252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129,91%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14:paraId="4AAF2338" w14:textId="77777777" w:rsidR="00B2523A" w:rsidRPr="00B2523A" w:rsidRDefault="00B2523A" w:rsidP="00B252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0,00%</w:t>
            </w:r>
          </w:p>
        </w:tc>
      </w:tr>
      <w:tr w:rsidR="00B2523A" w:rsidRPr="00B2523A" w14:paraId="0BA328CD" w14:textId="77777777" w:rsidTr="006266DA">
        <w:trPr>
          <w:trHeight w:val="227"/>
        </w:trPr>
        <w:tc>
          <w:tcPr>
            <w:tcW w:w="222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89E70F" w14:textId="77777777" w:rsidR="00B2523A" w:rsidRPr="00B2523A" w:rsidRDefault="00B2523A" w:rsidP="00B2523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71F9A6" w14:textId="77777777" w:rsidR="00B2523A" w:rsidRPr="00B2523A" w:rsidRDefault="00B2523A" w:rsidP="00B2523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832EEB" w14:textId="77777777" w:rsidR="00B2523A" w:rsidRPr="00B2523A" w:rsidRDefault="00B2523A" w:rsidP="00B2523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ABD080" w14:textId="77777777" w:rsidR="00B2523A" w:rsidRPr="00B2523A" w:rsidRDefault="00B2523A" w:rsidP="00B2523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6AA441" w14:textId="77777777" w:rsidR="00B2523A" w:rsidRPr="00B2523A" w:rsidRDefault="00B2523A" w:rsidP="00B2523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42C1EB6" w14:textId="77777777" w:rsidR="00B2523A" w:rsidRPr="00B2523A" w:rsidRDefault="00B2523A" w:rsidP="00B2523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2523A" w:rsidRPr="00B2523A" w14:paraId="2C223E9E" w14:textId="77777777" w:rsidTr="006266DA">
        <w:trPr>
          <w:trHeight w:val="227"/>
        </w:trPr>
        <w:tc>
          <w:tcPr>
            <w:tcW w:w="2225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0D60FD8B" w14:textId="77777777" w:rsidR="00B2523A" w:rsidRPr="00B2523A" w:rsidRDefault="00B2523A" w:rsidP="00B2523A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C. RASPOLOŽIVA SREDSTAVA IZ PRETHODNIH GODINA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5CEB7265" w14:textId="77777777" w:rsidR="00B2523A" w:rsidRPr="00B2523A" w:rsidRDefault="00B2523A" w:rsidP="00B252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52.071,65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4F906FAC" w14:textId="77777777" w:rsidR="00B2523A" w:rsidRPr="00B2523A" w:rsidRDefault="00B2523A" w:rsidP="00B252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bottom"/>
            <w:hideMark/>
          </w:tcPr>
          <w:p w14:paraId="7318F14C" w14:textId="77777777" w:rsidR="00B2523A" w:rsidRPr="00B2523A" w:rsidRDefault="00B2523A" w:rsidP="00B252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-101.978,62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  <w:hideMark/>
          </w:tcPr>
          <w:p w14:paraId="1EEDEC51" w14:textId="77777777" w:rsidR="00B2523A" w:rsidRPr="00B2523A" w:rsidRDefault="00B2523A" w:rsidP="00B252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-195,84%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14:paraId="288FB512" w14:textId="77777777" w:rsidR="00B2523A" w:rsidRPr="00B2523A" w:rsidRDefault="00B2523A" w:rsidP="00B252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b/>
                <w:bCs/>
                <w:lang w:eastAsia="hr-HR"/>
              </w:rPr>
              <w:t>0,00%</w:t>
            </w:r>
          </w:p>
        </w:tc>
      </w:tr>
      <w:tr w:rsidR="00B2523A" w:rsidRPr="00B2523A" w14:paraId="05116384" w14:textId="77777777" w:rsidTr="006266DA">
        <w:trPr>
          <w:trHeight w:val="227"/>
        </w:trPr>
        <w:tc>
          <w:tcPr>
            <w:tcW w:w="222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C90D63" w14:textId="77777777" w:rsidR="00B2523A" w:rsidRPr="00B2523A" w:rsidRDefault="00B2523A" w:rsidP="00B2523A">
            <w:pPr>
              <w:spacing w:before="0"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color w:val="000000"/>
                <w:lang w:eastAsia="hr-HR"/>
              </w:rPr>
              <w:t>Ukupan donos viška/manjka iz prethodnih godina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136E94" w14:textId="77777777" w:rsidR="00B2523A" w:rsidRPr="00B2523A" w:rsidRDefault="00B2523A" w:rsidP="00B252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color w:val="000000"/>
                <w:lang w:eastAsia="hr-HR"/>
              </w:rPr>
              <w:t>52.071,65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85CE8D" w14:textId="77777777" w:rsidR="00B2523A" w:rsidRPr="00B2523A" w:rsidRDefault="00B2523A" w:rsidP="00B252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51C632" w14:textId="77777777" w:rsidR="00B2523A" w:rsidRPr="00B2523A" w:rsidRDefault="00B2523A" w:rsidP="00B252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color w:val="000000"/>
                <w:lang w:eastAsia="hr-HR"/>
              </w:rPr>
              <w:t>-101.978,62</w:t>
            </w: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2D573C" w14:textId="77777777" w:rsidR="00B2523A" w:rsidRPr="00B2523A" w:rsidRDefault="00B2523A" w:rsidP="00B252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color w:val="000000"/>
                <w:lang w:eastAsia="hr-HR"/>
              </w:rPr>
              <w:t>-195,84%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278884B" w14:textId="77777777" w:rsidR="00B2523A" w:rsidRPr="00B2523A" w:rsidRDefault="00B2523A" w:rsidP="00B252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color w:val="000000"/>
                <w:lang w:eastAsia="hr-HR"/>
              </w:rPr>
              <w:t>0,00%</w:t>
            </w:r>
          </w:p>
        </w:tc>
      </w:tr>
      <w:tr w:rsidR="00B2523A" w:rsidRPr="00B2523A" w14:paraId="550ED082" w14:textId="77777777" w:rsidTr="006266DA">
        <w:trPr>
          <w:trHeight w:val="227"/>
        </w:trPr>
        <w:tc>
          <w:tcPr>
            <w:tcW w:w="2225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237042" w14:textId="77777777" w:rsidR="00B2523A" w:rsidRPr="00B2523A" w:rsidRDefault="00B2523A" w:rsidP="00B2523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6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965B61" w14:textId="77777777" w:rsidR="00B2523A" w:rsidRPr="00B2523A" w:rsidRDefault="00B2523A" w:rsidP="00B2523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3C9C6A" w14:textId="77777777" w:rsidR="00B2523A" w:rsidRPr="00B2523A" w:rsidRDefault="00B2523A" w:rsidP="00B2523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4951DE" w14:textId="77777777" w:rsidR="00B2523A" w:rsidRPr="00B2523A" w:rsidRDefault="00B2523A" w:rsidP="00B2523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D696CD" w14:textId="77777777" w:rsidR="00B2523A" w:rsidRPr="00B2523A" w:rsidRDefault="00B2523A" w:rsidP="00B2523A">
            <w:pPr>
              <w:spacing w:before="0" w:after="0" w:line="240" w:lineRule="auto"/>
              <w:rPr>
                <w:rFonts w:ascii="Times New Roman" w:eastAsia="Times New Roman" w:hAnsi="Times New Roman" w:cs="Times New Roman"/>
                <w:lang w:eastAsia="hr-HR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4188F" w14:textId="77777777" w:rsidR="00B2523A" w:rsidRPr="00B2523A" w:rsidRDefault="00B2523A" w:rsidP="00B2523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B2523A" w:rsidRPr="00B2523A" w14:paraId="031980C7" w14:textId="77777777" w:rsidTr="006266DA">
        <w:trPr>
          <w:trHeight w:val="227"/>
        </w:trPr>
        <w:tc>
          <w:tcPr>
            <w:tcW w:w="2225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2F2F2"/>
            <w:vAlign w:val="bottom"/>
            <w:hideMark/>
          </w:tcPr>
          <w:p w14:paraId="3461EBAA" w14:textId="77777777" w:rsidR="00B2523A" w:rsidRPr="00B2523A" w:rsidRDefault="00B2523A" w:rsidP="00B2523A">
            <w:pPr>
              <w:spacing w:before="0" w:after="0" w:line="240" w:lineRule="auto"/>
              <w:ind w:left="224" w:hanging="224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D. VIŠAK/MANJAK TEKUĆE GODINE + RASPOLOŽIVA SREDSTVA IZ PRETHODNIH GODINA</w:t>
            </w:r>
          </w:p>
        </w:tc>
        <w:tc>
          <w:tcPr>
            <w:tcW w:w="620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bottom"/>
            <w:hideMark/>
          </w:tcPr>
          <w:p w14:paraId="2B9A9A79" w14:textId="77777777" w:rsidR="00B2523A" w:rsidRPr="00B2523A" w:rsidRDefault="00B2523A" w:rsidP="00B252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64.025,44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bottom"/>
            <w:hideMark/>
          </w:tcPr>
          <w:p w14:paraId="6524D2E5" w14:textId="77777777" w:rsidR="00B2523A" w:rsidRPr="00B2523A" w:rsidRDefault="00B2523A" w:rsidP="00B252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bottom"/>
            <w:hideMark/>
          </w:tcPr>
          <w:p w14:paraId="50BB8B35" w14:textId="77777777" w:rsidR="00B2523A" w:rsidRPr="00B2523A" w:rsidRDefault="00B2523A" w:rsidP="00B252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-86.449,57</w:t>
            </w:r>
          </w:p>
        </w:tc>
        <w:tc>
          <w:tcPr>
            <w:tcW w:w="44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F2F2F2"/>
            <w:vAlign w:val="bottom"/>
            <w:hideMark/>
          </w:tcPr>
          <w:p w14:paraId="45D85F4C" w14:textId="77777777" w:rsidR="00B2523A" w:rsidRPr="00B2523A" w:rsidRDefault="00B2523A" w:rsidP="00B252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-135,02%</w:t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vAlign w:val="bottom"/>
            <w:hideMark/>
          </w:tcPr>
          <w:p w14:paraId="18CCC7CB" w14:textId="77777777" w:rsidR="00B2523A" w:rsidRPr="00B2523A" w:rsidRDefault="00B2523A" w:rsidP="00B2523A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</w:tbl>
    <w:p w14:paraId="3D2F50E5" w14:textId="1A9B3570" w:rsidR="00226A56" w:rsidRDefault="00226A56" w:rsidP="008D30E5">
      <w:pPr>
        <w:spacing w:before="120" w:after="120" w:line="240" w:lineRule="auto"/>
        <w:jc w:val="both"/>
        <w:rPr>
          <w:rFonts w:cstheme="minorHAnsi"/>
          <w:sz w:val="22"/>
          <w:szCs w:val="22"/>
        </w:rPr>
      </w:pPr>
      <w:r w:rsidRPr="00226A56">
        <w:rPr>
          <w:rFonts w:cstheme="minorHAnsi"/>
          <w:sz w:val="22"/>
          <w:szCs w:val="22"/>
        </w:rPr>
        <w:t xml:space="preserve">Iz navedenog proizlazi da je u </w:t>
      </w:r>
      <w:r w:rsidR="00AF72B3">
        <w:rPr>
          <w:rFonts w:cstheme="minorHAnsi"/>
          <w:sz w:val="22"/>
          <w:szCs w:val="22"/>
        </w:rPr>
        <w:t xml:space="preserve">prvoj polovici </w:t>
      </w:r>
      <w:r w:rsidRPr="00226A56">
        <w:rPr>
          <w:rFonts w:cstheme="minorHAnsi"/>
          <w:sz w:val="22"/>
          <w:szCs w:val="22"/>
        </w:rPr>
        <w:t>202</w:t>
      </w:r>
      <w:r w:rsidR="006266DA">
        <w:rPr>
          <w:rFonts w:cstheme="minorHAnsi"/>
          <w:sz w:val="22"/>
          <w:szCs w:val="22"/>
        </w:rPr>
        <w:t>5</w:t>
      </w:r>
      <w:r w:rsidRPr="00226A56">
        <w:rPr>
          <w:rFonts w:cstheme="minorHAnsi"/>
          <w:sz w:val="22"/>
          <w:szCs w:val="22"/>
        </w:rPr>
        <w:t>. godin</w:t>
      </w:r>
      <w:r w:rsidR="00AF72B3">
        <w:rPr>
          <w:rFonts w:cstheme="minorHAnsi"/>
          <w:sz w:val="22"/>
          <w:szCs w:val="22"/>
        </w:rPr>
        <w:t>e</w:t>
      </w:r>
      <w:r w:rsidRPr="00226A56">
        <w:rPr>
          <w:rFonts w:cstheme="minorHAnsi"/>
          <w:sz w:val="22"/>
          <w:szCs w:val="22"/>
        </w:rPr>
        <w:t xml:space="preserve"> ostvaren </w:t>
      </w:r>
      <w:r w:rsidR="00393CA1">
        <w:rPr>
          <w:rFonts w:cstheme="minorHAnsi"/>
          <w:sz w:val="22"/>
          <w:szCs w:val="22"/>
        </w:rPr>
        <w:t>višak</w:t>
      </w:r>
      <w:r w:rsidRPr="00226A56">
        <w:rPr>
          <w:rFonts w:cstheme="minorHAnsi"/>
          <w:sz w:val="22"/>
          <w:szCs w:val="22"/>
        </w:rPr>
        <w:t xml:space="preserve"> prihoda</w:t>
      </w:r>
      <w:r w:rsidR="00AF72B3">
        <w:rPr>
          <w:rFonts w:cstheme="minorHAnsi"/>
          <w:sz w:val="22"/>
          <w:szCs w:val="22"/>
        </w:rPr>
        <w:t xml:space="preserve"> i primitaka</w:t>
      </w:r>
      <w:r w:rsidRPr="00226A56">
        <w:rPr>
          <w:rFonts w:cstheme="minorHAnsi"/>
          <w:sz w:val="22"/>
          <w:szCs w:val="22"/>
        </w:rPr>
        <w:t xml:space="preserve"> u iznosu </w:t>
      </w:r>
      <w:r w:rsidR="006266DA" w:rsidRPr="006266DA">
        <w:rPr>
          <w:rFonts w:cstheme="minorHAnsi"/>
          <w:sz w:val="22"/>
          <w:szCs w:val="22"/>
        </w:rPr>
        <w:t>15.529,05</w:t>
      </w:r>
      <w:r w:rsidR="00AF72B3">
        <w:rPr>
          <w:rFonts w:cstheme="minorHAnsi"/>
          <w:sz w:val="22"/>
          <w:szCs w:val="22"/>
        </w:rPr>
        <w:t xml:space="preserve"> eura</w:t>
      </w:r>
      <w:r w:rsidRPr="00226A56">
        <w:rPr>
          <w:rFonts w:cstheme="minorHAnsi"/>
          <w:sz w:val="22"/>
          <w:szCs w:val="22"/>
        </w:rPr>
        <w:t xml:space="preserve">, </w:t>
      </w:r>
      <w:r w:rsidR="00C16F83">
        <w:rPr>
          <w:rFonts w:cstheme="minorHAnsi"/>
          <w:sz w:val="22"/>
          <w:szCs w:val="22"/>
        </w:rPr>
        <w:t xml:space="preserve">a s obzirom da je prethodne godine ostvaren </w:t>
      </w:r>
      <w:r w:rsidR="006266DA">
        <w:rPr>
          <w:rFonts w:cstheme="minorHAnsi"/>
          <w:sz w:val="22"/>
          <w:szCs w:val="22"/>
        </w:rPr>
        <w:t>manjak</w:t>
      </w:r>
      <w:r w:rsidR="00C16F83">
        <w:rPr>
          <w:rFonts w:cstheme="minorHAnsi"/>
          <w:sz w:val="22"/>
          <w:szCs w:val="22"/>
        </w:rPr>
        <w:t xml:space="preserve"> u iznosu </w:t>
      </w:r>
      <w:r w:rsidRPr="00226A56">
        <w:rPr>
          <w:rFonts w:cstheme="minorHAnsi"/>
          <w:sz w:val="22"/>
          <w:szCs w:val="22"/>
        </w:rPr>
        <w:t>od</w:t>
      </w:r>
      <w:r w:rsidR="00393CA1">
        <w:rPr>
          <w:rFonts w:cstheme="minorHAnsi"/>
          <w:sz w:val="22"/>
          <w:szCs w:val="22"/>
        </w:rPr>
        <w:t xml:space="preserve"> </w:t>
      </w:r>
      <w:r w:rsidR="006266DA" w:rsidRPr="006266DA">
        <w:rPr>
          <w:rFonts w:cstheme="minorHAnsi"/>
          <w:sz w:val="22"/>
          <w:szCs w:val="22"/>
        </w:rPr>
        <w:t>101.978,62</w:t>
      </w:r>
      <w:r w:rsidR="00C16F83">
        <w:rPr>
          <w:rFonts w:cstheme="minorHAnsi"/>
          <w:sz w:val="22"/>
          <w:szCs w:val="22"/>
        </w:rPr>
        <w:t xml:space="preserve"> eura</w:t>
      </w:r>
      <w:r w:rsidRPr="00226A56">
        <w:rPr>
          <w:rFonts w:cstheme="minorHAnsi"/>
          <w:sz w:val="22"/>
          <w:szCs w:val="22"/>
        </w:rPr>
        <w:t xml:space="preserve">, </w:t>
      </w:r>
      <w:r w:rsidR="00393CA1">
        <w:rPr>
          <w:rFonts w:cstheme="minorHAnsi"/>
          <w:sz w:val="22"/>
          <w:szCs w:val="22"/>
        </w:rPr>
        <w:t xml:space="preserve">sveukupni </w:t>
      </w:r>
      <w:r w:rsidR="006266DA">
        <w:rPr>
          <w:rFonts w:cstheme="minorHAnsi"/>
          <w:sz w:val="22"/>
          <w:szCs w:val="22"/>
        </w:rPr>
        <w:t>manjak</w:t>
      </w:r>
      <w:r w:rsidR="00C16F83">
        <w:rPr>
          <w:rFonts w:cstheme="minorHAnsi"/>
          <w:sz w:val="22"/>
          <w:szCs w:val="22"/>
        </w:rPr>
        <w:t xml:space="preserve"> </w:t>
      </w:r>
      <w:r w:rsidR="006266DA">
        <w:rPr>
          <w:rFonts w:cstheme="minorHAnsi"/>
          <w:sz w:val="22"/>
          <w:szCs w:val="22"/>
        </w:rPr>
        <w:t>je smanjen na 86.449,57</w:t>
      </w:r>
      <w:r w:rsidR="00C16F83">
        <w:rPr>
          <w:rFonts w:cstheme="minorHAnsi"/>
          <w:sz w:val="22"/>
          <w:szCs w:val="22"/>
        </w:rPr>
        <w:t xml:space="preserve"> eura</w:t>
      </w:r>
      <w:r w:rsidRPr="00226A56">
        <w:rPr>
          <w:rFonts w:cstheme="minorHAnsi"/>
          <w:sz w:val="22"/>
          <w:szCs w:val="22"/>
        </w:rPr>
        <w:t>.</w:t>
      </w:r>
    </w:p>
    <w:p w14:paraId="1C5B2202" w14:textId="466DB8F2" w:rsidR="00410EC1" w:rsidRDefault="00410EC1" w:rsidP="00410EC1">
      <w:pPr>
        <w:spacing w:before="120" w:after="120" w:line="240" w:lineRule="auto"/>
        <w:jc w:val="both"/>
        <w:rPr>
          <w:rFonts w:cstheme="minorHAnsi"/>
          <w:sz w:val="22"/>
          <w:szCs w:val="22"/>
        </w:rPr>
      </w:pPr>
      <w:r w:rsidRPr="00410EC1">
        <w:rPr>
          <w:rFonts w:cstheme="minorHAnsi"/>
          <w:sz w:val="22"/>
          <w:szCs w:val="22"/>
        </w:rPr>
        <w:lastRenderedPageBreak/>
        <w:t xml:space="preserve">Na ostvarenje viška prihoda </w:t>
      </w:r>
      <w:r>
        <w:rPr>
          <w:rFonts w:cstheme="minorHAnsi"/>
          <w:sz w:val="22"/>
          <w:szCs w:val="22"/>
        </w:rPr>
        <w:t xml:space="preserve">u prvoj polovici 2025. godine </w:t>
      </w:r>
      <w:r w:rsidRPr="00410EC1">
        <w:rPr>
          <w:rFonts w:cstheme="minorHAnsi"/>
          <w:sz w:val="22"/>
          <w:szCs w:val="22"/>
        </w:rPr>
        <w:t>utjecala su kretanja na prihod</w:t>
      </w:r>
      <w:r>
        <w:rPr>
          <w:rFonts w:cstheme="minorHAnsi"/>
          <w:sz w:val="22"/>
          <w:szCs w:val="22"/>
        </w:rPr>
        <w:t>ovnoj</w:t>
      </w:r>
      <w:r w:rsidRPr="00410EC1">
        <w:rPr>
          <w:rFonts w:cstheme="minorHAnsi"/>
          <w:sz w:val="22"/>
          <w:szCs w:val="22"/>
        </w:rPr>
        <w:t xml:space="preserve"> i rashod</w:t>
      </w:r>
      <w:r>
        <w:rPr>
          <w:rFonts w:cstheme="minorHAnsi"/>
          <w:sz w:val="22"/>
          <w:szCs w:val="22"/>
        </w:rPr>
        <w:t>ovnoj</w:t>
      </w:r>
      <w:r w:rsidRPr="00410EC1">
        <w:rPr>
          <w:rFonts w:cstheme="minorHAnsi"/>
          <w:sz w:val="22"/>
          <w:szCs w:val="22"/>
        </w:rPr>
        <w:t xml:space="preserve"> strani proračuna</w:t>
      </w:r>
      <w:r>
        <w:rPr>
          <w:rFonts w:cstheme="minorHAnsi"/>
          <w:sz w:val="22"/>
          <w:szCs w:val="22"/>
        </w:rPr>
        <w:t>,</w:t>
      </w:r>
      <w:r w:rsidRPr="00410EC1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a z</w:t>
      </w:r>
      <w:r w:rsidRPr="00410EC1">
        <w:rPr>
          <w:rFonts w:cstheme="minorHAnsi"/>
          <w:sz w:val="22"/>
          <w:szCs w:val="22"/>
        </w:rPr>
        <w:t>načajan utjecaj ima</w:t>
      </w:r>
      <w:r>
        <w:rPr>
          <w:rFonts w:cstheme="minorHAnsi"/>
          <w:sz w:val="22"/>
          <w:szCs w:val="22"/>
        </w:rPr>
        <w:t xml:space="preserve">lo je </w:t>
      </w:r>
      <w:r w:rsidRPr="00410EC1">
        <w:rPr>
          <w:rFonts w:cstheme="minorHAnsi"/>
          <w:sz w:val="22"/>
          <w:szCs w:val="22"/>
        </w:rPr>
        <w:t>veće ostvarenje prihoda od poreza na dohodak</w:t>
      </w:r>
      <w:r>
        <w:rPr>
          <w:rFonts w:cstheme="minorHAnsi"/>
          <w:sz w:val="22"/>
          <w:szCs w:val="22"/>
        </w:rPr>
        <w:t>.</w:t>
      </w:r>
    </w:p>
    <w:p w14:paraId="038BCCD0" w14:textId="77777777" w:rsidR="00845957" w:rsidRPr="00000576" w:rsidRDefault="00845957" w:rsidP="00000576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</w:p>
    <w:p w14:paraId="1A7A801B" w14:textId="14EA6B46" w:rsidR="003E3931" w:rsidRPr="00F00684" w:rsidRDefault="003E3931" w:rsidP="00165728">
      <w:pPr>
        <w:pStyle w:val="Naslov2"/>
        <w:numPr>
          <w:ilvl w:val="1"/>
          <w:numId w:val="4"/>
        </w:numPr>
        <w:spacing w:before="0" w:after="120"/>
        <w:ind w:left="432"/>
        <w:rPr>
          <w:b/>
          <w:sz w:val="22"/>
        </w:rPr>
      </w:pPr>
      <w:bookmarkStart w:id="8" w:name="_Toc209436492"/>
      <w:r w:rsidRPr="00F00684">
        <w:rPr>
          <w:b/>
          <w:sz w:val="22"/>
        </w:rPr>
        <w:t>PRIHODI</w:t>
      </w:r>
      <w:r w:rsidR="002A5EEE" w:rsidRPr="00F00684">
        <w:rPr>
          <w:b/>
          <w:sz w:val="22"/>
        </w:rPr>
        <w:t xml:space="preserve"> I PRIMICI</w:t>
      </w:r>
      <w:bookmarkEnd w:id="8"/>
    </w:p>
    <w:p w14:paraId="305491A4" w14:textId="5D6BAA6D" w:rsidR="00487652" w:rsidRDefault="00487652" w:rsidP="00000576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Ukupni p</w:t>
      </w:r>
      <w:r w:rsidRPr="00487652">
        <w:rPr>
          <w:rFonts w:cstheme="minorHAnsi"/>
          <w:sz w:val="22"/>
          <w:szCs w:val="22"/>
        </w:rPr>
        <w:t xml:space="preserve">rihodi i primici Proračuna obuhvaćaju prihode poslovanja u iznosu od </w:t>
      </w:r>
      <w:r w:rsidR="000C0CBA" w:rsidRPr="000C0CBA">
        <w:rPr>
          <w:rFonts w:cstheme="minorHAnsi"/>
          <w:sz w:val="22"/>
          <w:szCs w:val="22"/>
        </w:rPr>
        <w:t>308.647,38</w:t>
      </w:r>
      <w:r w:rsidRPr="00487652">
        <w:rPr>
          <w:rFonts w:cstheme="minorHAnsi"/>
          <w:sz w:val="22"/>
          <w:szCs w:val="22"/>
        </w:rPr>
        <w:t xml:space="preserve"> </w:t>
      </w:r>
      <w:r w:rsidR="0062302F">
        <w:rPr>
          <w:rFonts w:cstheme="minorHAnsi"/>
          <w:sz w:val="22"/>
          <w:szCs w:val="22"/>
        </w:rPr>
        <w:t>eura</w:t>
      </w:r>
      <w:r w:rsidRPr="00487652">
        <w:rPr>
          <w:rFonts w:cstheme="minorHAnsi"/>
          <w:sz w:val="22"/>
          <w:szCs w:val="22"/>
        </w:rPr>
        <w:t xml:space="preserve">, prihode od prodaje nefinancijske imovine u iznosu od </w:t>
      </w:r>
      <w:r w:rsidR="000C0CBA" w:rsidRPr="000C0CBA">
        <w:rPr>
          <w:rFonts w:cstheme="minorHAnsi"/>
          <w:sz w:val="22"/>
          <w:szCs w:val="22"/>
        </w:rPr>
        <w:t>455,68</w:t>
      </w:r>
      <w:r w:rsidR="0062302F">
        <w:rPr>
          <w:rFonts w:cstheme="minorHAnsi"/>
          <w:sz w:val="22"/>
          <w:szCs w:val="22"/>
        </w:rPr>
        <w:t xml:space="preserve"> eura</w:t>
      </w:r>
      <w:r w:rsidRPr="00487652">
        <w:rPr>
          <w:rFonts w:cstheme="minorHAnsi"/>
          <w:sz w:val="22"/>
          <w:szCs w:val="22"/>
        </w:rPr>
        <w:t xml:space="preserve">, te primitke od financijske imovine i zaduživanja </w:t>
      </w:r>
      <w:r w:rsidR="000269E3">
        <w:rPr>
          <w:rFonts w:cstheme="minorHAnsi"/>
          <w:sz w:val="22"/>
          <w:szCs w:val="22"/>
        </w:rPr>
        <w:t xml:space="preserve">u iznosu od </w:t>
      </w:r>
      <w:r w:rsidR="000C0CBA">
        <w:rPr>
          <w:rFonts w:cstheme="minorHAnsi"/>
          <w:sz w:val="22"/>
          <w:szCs w:val="22"/>
        </w:rPr>
        <w:t>9</w:t>
      </w:r>
      <w:r w:rsidR="000269E3" w:rsidRPr="000269E3">
        <w:rPr>
          <w:rFonts w:cstheme="minorHAnsi"/>
          <w:sz w:val="22"/>
          <w:szCs w:val="22"/>
        </w:rPr>
        <w:t>0.000,00</w:t>
      </w:r>
      <w:r w:rsidR="000269E3">
        <w:rPr>
          <w:rFonts w:cstheme="minorHAnsi"/>
          <w:sz w:val="22"/>
          <w:szCs w:val="22"/>
        </w:rPr>
        <w:t xml:space="preserve"> eura</w:t>
      </w:r>
      <w:r w:rsidRPr="00487652">
        <w:rPr>
          <w:rFonts w:cstheme="minorHAnsi"/>
          <w:sz w:val="22"/>
          <w:szCs w:val="22"/>
        </w:rPr>
        <w:t>.</w:t>
      </w:r>
    </w:p>
    <w:p w14:paraId="335B5D01" w14:textId="7D99DC79" w:rsidR="006A7047" w:rsidRDefault="006A7047" w:rsidP="006A7047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6A7047">
        <w:rPr>
          <w:rFonts w:cstheme="minorHAnsi"/>
          <w:sz w:val="22"/>
          <w:szCs w:val="22"/>
        </w:rPr>
        <w:t>U strukturi ostvarenih prihoda i</w:t>
      </w:r>
      <w:r>
        <w:rPr>
          <w:rFonts w:cstheme="minorHAnsi"/>
          <w:sz w:val="22"/>
          <w:szCs w:val="22"/>
        </w:rPr>
        <w:t xml:space="preserve"> </w:t>
      </w:r>
      <w:r w:rsidRPr="006A7047">
        <w:rPr>
          <w:rFonts w:cstheme="minorHAnsi"/>
          <w:sz w:val="22"/>
          <w:szCs w:val="22"/>
        </w:rPr>
        <w:t xml:space="preserve">primitaka najveći udjel od </w:t>
      </w:r>
      <w:r w:rsidR="000C0CBA">
        <w:rPr>
          <w:rFonts w:cstheme="minorHAnsi"/>
          <w:sz w:val="22"/>
          <w:szCs w:val="22"/>
        </w:rPr>
        <w:t>46,53</w:t>
      </w:r>
      <w:r w:rsidRPr="006A7047">
        <w:rPr>
          <w:rFonts w:cstheme="minorHAnsi"/>
          <w:sz w:val="22"/>
          <w:szCs w:val="22"/>
        </w:rPr>
        <w:t xml:space="preserve">% imaju </w:t>
      </w:r>
      <w:r w:rsidR="00DB2E03">
        <w:rPr>
          <w:rFonts w:cstheme="minorHAnsi"/>
          <w:sz w:val="22"/>
          <w:szCs w:val="22"/>
        </w:rPr>
        <w:t>p</w:t>
      </w:r>
      <w:r w:rsidR="00DB2E03" w:rsidRPr="00DB2E03">
        <w:rPr>
          <w:rFonts w:cstheme="minorHAnsi"/>
          <w:sz w:val="22"/>
          <w:szCs w:val="22"/>
        </w:rPr>
        <w:t>omoći iz inozemstva i od subjekata unutar općeg proračuna</w:t>
      </w:r>
      <w:r w:rsidRPr="006A7047">
        <w:rPr>
          <w:rFonts w:cstheme="minorHAnsi"/>
          <w:sz w:val="22"/>
          <w:szCs w:val="22"/>
        </w:rPr>
        <w:t>.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7"/>
        <w:gridCol w:w="560"/>
        <w:gridCol w:w="3959"/>
        <w:gridCol w:w="1265"/>
        <w:gridCol w:w="1263"/>
        <w:gridCol w:w="1267"/>
        <w:gridCol w:w="919"/>
        <w:gridCol w:w="956"/>
      </w:tblGrid>
      <w:tr w:rsidR="00C15D91" w:rsidRPr="00BB318A" w14:paraId="1F4B10B2" w14:textId="77777777" w:rsidTr="00C15D91">
        <w:trPr>
          <w:trHeight w:val="227"/>
        </w:trPr>
        <w:tc>
          <w:tcPr>
            <w:tcW w:w="2289" w:type="pct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000000" w:fill="E7E6E6"/>
            <w:vAlign w:val="center"/>
            <w:hideMark/>
          </w:tcPr>
          <w:p w14:paraId="275CE67C" w14:textId="106B6625" w:rsidR="00C15D91" w:rsidRPr="00BB318A" w:rsidRDefault="00C15D91" w:rsidP="00C15D9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10EC1">
              <w:rPr>
                <w:rFonts w:ascii="Calibri" w:eastAsia="Times New Roman" w:hAnsi="Calibri" w:cs="Calibri"/>
                <w:color w:val="000000"/>
                <w:lang w:eastAsia="hr-HR"/>
              </w:rPr>
              <w:t>Brojčana oznaka i naziv računa</w:t>
            </w:r>
          </w:p>
        </w:tc>
        <w:tc>
          <w:tcPr>
            <w:tcW w:w="605" w:type="pct"/>
            <w:tcBorders>
              <w:top w:val="single" w:sz="4" w:space="0" w:color="000000"/>
            </w:tcBorders>
            <w:shd w:val="clear" w:color="000000" w:fill="E7E6E6"/>
            <w:vAlign w:val="center"/>
            <w:hideMark/>
          </w:tcPr>
          <w:p w14:paraId="6F213F7B" w14:textId="77777777" w:rsidR="00C15D91" w:rsidRDefault="00C15D91" w:rsidP="00C15D9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10EC1">
              <w:rPr>
                <w:rFonts w:ascii="Calibri" w:eastAsia="Times New Roman" w:hAnsi="Calibri" w:cs="Calibri"/>
                <w:color w:val="000000"/>
                <w:lang w:eastAsia="hr-HR"/>
              </w:rPr>
              <w:t>Izvršenje</w:t>
            </w:r>
          </w:p>
          <w:p w14:paraId="3202E609" w14:textId="698D39AF" w:rsidR="00C15D91" w:rsidRPr="00BB318A" w:rsidRDefault="00C15D91" w:rsidP="00C15D9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10EC1">
              <w:rPr>
                <w:rFonts w:ascii="Calibri" w:eastAsia="Times New Roman" w:hAnsi="Calibri" w:cs="Calibri"/>
                <w:color w:val="000000"/>
                <w:lang w:eastAsia="hr-HR"/>
              </w:rPr>
              <w:t>I-VI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Pr="00410EC1">
              <w:rPr>
                <w:rFonts w:ascii="Calibri" w:eastAsia="Times New Roman" w:hAnsi="Calibri" w:cs="Calibri"/>
                <w:color w:val="000000"/>
                <w:lang w:eastAsia="hr-HR"/>
              </w:rPr>
              <w:t>2024.</w:t>
            </w:r>
          </w:p>
        </w:tc>
        <w:tc>
          <w:tcPr>
            <w:tcW w:w="604" w:type="pct"/>
            <w:tcBorders>
              <w:top w:val="single" w:sz="4" w:space="0" w:color="000000"/>
            </w:tcBorders>
            <w:shd w:val="clear" w:color="000000" w:fill="E7E6E6"/>
            <w:vAlign w:val="center"/>
            <w:hideMark/>
          </w:tcPr>
          <w:p w14:paraId="73392C96" w14:textId="77777777" w:rsidR="00C15D91" w:rsidRDefault="00C15D91" w:rsidP="00C15D9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10EC1">
              <w:rPr>
                <w:rFonts w:ascii="Calibri" w:eastAsia="Times New Roman" w:hAnsi="Calibri" w:cs="Calibri"/>
                <w:color w:val="000000"/>
                <w:lang w:eastAsia="hr-HR"/>
              </w:rPr>
              <w:t>Proračun</w:t>
            </w:r>
          </w:p>
          <w:p w14:paraId="343FA995" w14:textId="737061DD" w:rsidR="00C15D91" w:rsidRPr="00BB318A" w:rsidRDefault="00C15D91" w:rsidP="00C15D9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10EC1">
              <w:rPr>
                <w:rFonts w:ascii="Calibri" w:eastAsia="Times New Roman" w:hAnsi="Calibri" w:cs="Calibri"/>
                <w:color w:val="000000"/>
                <w:lang w:eastAsia="hr-HR"/>
              </w:rPr>
              <w:t>2025</w:t>
            </w:r>
          </w:p>
        </w:tc>
        <w:tc>
          <w:tcPr>
            <w:tcW w:w="606" w:type="pct"/>
            <w:tcBorders>
              <w:top w:val="single" w:sz="4" w:space="0" w:color="000000"/>
            </w:tcBorders>
            <w:shd w:val="clear" w:color="000000" w:fill="E7E6E6"/>
            <w:vAlign w:val="center"/>
            <w:hideMark/>
          </w:tcPr>
          <w:p w14:paraId="491D0AF9" w14:textId="77777777" w:rsidR="00C15D91" w:rsidRDefault="00C15D91" w:rsidP="00C15D9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10EC1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Izvršenje </w:t>
            </w:r>
          </w:p>
          <w:p w14:paraId="09598975" w14:textId="7A3ACE77" w:rsidR="00C15D91" w:rsidRPr="00BB318A" w:rsidRDefault="00C15D91" w:rsidP="00C15D9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10EC1">
              <w:rPr>
                <w:rFonts w:ascii="Calibri" w:eastAsia="Times New Roman" w:hAnsi="Calibri" w:cs="Calibri"/>
                <w:color w:val="000000"/>
                <w:lang w:eastAsia="hr-HR"/>
              </w:rPr>
              <w:t>I-VI</w:t>
            </w:r>
            <w:r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Pr="00410EC1">
              <w:rPr>
                <w:rFonts w:ascii="Calibri" w:eastAsia="Times New Roman" w:hAnsi="Calibri" w:cs="Calibri"/>
                <w:color w:val="000000"/>
                <w:lang w:eastAsia="hr-HR"/>
              </w:rPr>
              <w:t>2025.</w:t>
            </w:r>
          </w:p>
        </w:tc>
        <w:tc>
          <w:tcPr>
            <w:tcW w:w="439" w:type="pct"/>
            <w:tcBorders>
              <w:top w:val="single" w:sz="4" w:space="0" w:color="000000"/>
            </w:tcBorders>
            <w:shd w:val="clear" w:color="000000" w:fill="E7E6E6"/>
            <w:vAlign w:val="center"/>
            <w:hideMark/>
          </w:tcPr>
          <w:p w14:paraId="4AFAF631" w14:textId="1D810F74" w:rsidR="00C15D91" w:rsidRPr="00BB318A" w:rsidRDefault="00C15D91" w:rsidP="00C15D9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10EC1">
              <w:rPr>
                <w:rFonts w:ascii="Calibri" w:eastAsia="Times New Roman" w:hAnsi="Calibri" w:cs="Calibri"/>
                <w:color w:val="000000"/>
                <w:lang w:eastAsia="hr-HR"/>
              </w:rPr>
              <w:t>Indeks (4/2*100)</w:t>
            </w:r>
          </w:p>
        </w:tc>
        <w:tc>
          <w:tcPr>
            <w:tcW w:w="457" w:type="pct"/>
            <w:tcBorders>
              <w:top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18C3817B" w14:textId="10867C57" w:rsidR="00C15D91" w:rsidRPr="00BB318A" w:rsidRDefault="00C15D91" w:rsidP="00C15D9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10EC1">
              <w:rPr>
                <w:rFonts w:ascii="Calibri" w:eastAsia="Times New Roman" w:hAnsi="Calibri" w:cs="Calibri"/>
                <w:color w:val="000000"/>
                <w:lang w:eastAsia="hr-HR"/>
              </w:rPr>
              <w:t>Indeks (4/3*100)</w:t>
            </w:r>
          </w:p>
        </w:tc>
      </w:tr>
      <w:tr w:rsidR="00C15D91" w:rsidRPr="00BB318A" w14:paraId="54ADC1C5" w14:textId="77777777" w:rsidTr="00C15D91">
        <w:trPr>
          <w:trHeight w:val="227"/>
        </w:trPr>
        <w:tc>
          <w:tcPr>
            <w:tcW w:w="2289" w:type="pct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000000" w:fill="E7E6E6"/>
            <w:vAlign w:val="center"/>
            <w:hideMark/>
          </w:tcPr>
          <w:p w14:paraId="3F0BF37B" w14:textId="0D083764" w:rsidR="00C15D91" w:rsidRPr="00BB318A" w:rsidRDefault="00C15D91" w:rsidP="00C15D9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10EC1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605" w:type="pct"/>
            <w:tcBorders>
              <w:bottom w:val="single" w:sz="4" w:space="0" w:color="000000"/>
            </w:tcBorders>
            <w:shd w:val="clear" w:color="000000" w:fill="E7E6E6"/>
            <w:vAlign w:val="center"/>
            <w:hideMark/>
          </w:tcPr>
          <w:p w14:paraId="48888ED9" w14:textId="64B878B7" w:rsidR="00C15D91" w:rsidRPr="00BB318A" w:rsidRDefault="00C15D91" w:rsidP="00C15D9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10EC1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604" w:type="pct"/>
            <w:tcBorders>
              <w:bottom w:val="single" w:sz="4" w:space="0" w:color="000000"/>
            </w:tcBorders>
            <w:shd w:val="clear" w:color="000000" w:fill="E7E6E6"/>
            <w:vAlign w:val="center"/>
            <w:hideMark/>
          </w:tcPr>
          <w:p w14:paraId="39DCFA84" w14:textId="416177E4" w:rsidR="00C15D91" w:rsidRPr="00BB318A" w:rsidRDefault="00C15D91" w:rsidP="00C15D9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10EC1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606" w:type="pct"/>
            <w:tcBorders>
              <w:bottom w:val="single" w:sz="4" w:space="0" w:color="000000"/>
            </w:tcBorders>
            <w:shd w:val="clear" w:color="000000" w:fill="E7E6E6"/>
            <w:vAlign w:val="center"/>
            <w:hideMark/>
          </w:tcPr>
          <w:p w14:paraId="6D837211" w14:textId="096DD236" w:rsidR="00C15D91" w:rsidRPr="00BB318A" w:rsidRDefault="00C15D91" w:rsidP="00C15D9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10EC1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439" w:type="pct"/>
            <w:tcBorders>
              <w:bottom w:val="single" w:sz="4" w:space="0" w:color="000000"/>
            </w:tcBorders>
            <w:shd w:val="clear" w:color="000000" w:fill="E7E6E6"/>
            <w:vAlign w:val="center"/>
            <w:hideMark/>
          </w:tcPr>
          <w:p w14:paraId="66BBE764" w14:textId="301855FF" w:rsidR="00C15D91" w:rsidRPr="00BB318A" w:rsidRDefault="00C15D91" w:rsidP="00C15D9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10EC1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457" w:type="pct"/>
            <w:tcBorders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51A8D2D9" w14:textId="34BCB471" w:rsidR="00C15D91" w:rsidRPr="00BB318A" w:rsidRDefault="00C15D91" w:rsidP="00C15D9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10EC1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</w:tr>
      <w:tr w:rsidR="00C15D91" w:rsidRPr="00BB318A" w14:paraId="0EEFAEDF" w14:textId="77777777" w:rsidTr="00C15D91">
        <w:trPr>
          <w:trHeight w:val="227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FFFFF"/>
            <w:hideMark/>
          </w:tcPr>
          <w:p w14:paraId="28EF94D5" w14:textId="77777777" w:rsidR="00C15D91" w:rsidRPr="00BB318A" w:rsidRDefault="00C15D91" w:rsidP="00C15D9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B318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</w:t>
            </w:r>
          </w:p>
        </w:tc>
        <w:tc>
          <w:tcPr>
            <w:tcW w:w="2161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</w:tcPr>
          <w:p w14:paraId="0A2D894C" w14:textId="43BEBF1B" w:rsidR="00C15D91" w:rsidRPr="00BB318A" w:rsidRDefault="00C15D91" w:rsidP="00C15D91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B318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PRIHODI POSLOVANJA</w:t>
            </w:r>
          </w:p>
        </w:tc>
        <w:tc>
          <w:tcPr>
            <w:tcW w:w="605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0FF8DAE4" w14:textId="50E6A7C0" w:rsidR="00C15D91" w:rsidRPr="00BB318A" w:rsidRDefault="00C15D91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0EC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382.245,07</w:t>
            </w:r>
          </w:p>
        </w:tc>
        <w:tc>
          <w:tcPr>
            <w:tcW w:w="604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58F20BBB" w14:textId="3BBE5B60" w:rsidR="00C15D91" w:rsidRPr="00BB318A" w:rsidRDefault="00C15D91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0EC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1.010.000,00</w:t>
            </w:r>
          </w:p>
        </w:tc>
        <w:tc>
          <w:tcPr>
            <w:tcW w:w="606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58B8F9E5" w14:textId="10C43790" w:rsidR="00C15D91" w:rsidRPr="00BB318A" w:rsidRDefault="00C15D91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0EC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308.647,38</w:t>
            </w:r>
          </w:p>
        </w:tc>
        <w:tc>
          <w:tcPr>
            <w:tcW w:w="439" w:type="pct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bottom"/>
          </w:tcPr>
          <w:p w14:paraId="4B57B4C9" w14:textId="52943FF1" w:rsidR="00C15D91" w:rsidRPr="00BB318A" w:rsidRDefault="00C15D91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0EC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80,75%</w:t>
            </w:r>
          </w:p>
        </w:tc>
        <w:tc>
          <w:tcPr>
            <w:tcW w:w="457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EBF60C0" w14:textId="1C65D5F9" w:rsidR="00C15D91" w:rsidRPr="00BB318A" w:rsidRDefault="00C15D91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0EC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30,56%</w:t>
            </w:r>
          </w:p>
        </w:tc>
      </w:tr>
      <w:tr w:rsidR="00C15D91" w:rsidRPr="00BB318A" w14:paraId="1C30988F" w14:textId="77777777" w:rsidTr="00C15D91">
        <w:trPr>
          <w:trHeight w:val="227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1C146413" w14:textId="50882E8E" w:rsidR="00C15D91" w:rsidRPr="00BB318A" w:rsidRDefault="00C15D91" w:rsidP="00C15D9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</w:p>
        </w:tc>
        <w:tc>
          <w:tcPr>
            <w:tcW w:w="268" w:type="pct"/>
            <w:tcBorders>
              <w:top w:val="nil"/>
              <w:bottom w:val="single" w:sz="4" w:space="0" w:color="auto"/>
            </w:tcBorders>
            <w:shd w:val="clear" w:color="000000" w:fill="FFFFFF"/>
          </w:tcPr>
          <w:p w14:paraId="1B1F2C6E" w14:textId="15AC3413" w:rsidR="00C15D91" w:rsidRPr="000269E3" w:rsidRDefault="00C15D91" w:rsidP="00C15D9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B318A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61</w:t>
            </w:r>
          </w:p>
        </w:tc>
        <w:tc>
          <w:tcPr>
            <w:tcW w:w="1893" w:type="pct"/>
            <w:tcBorders>
              <w:top w:val="nil"/>
              <w:bottom w:val="single" w:sz="4" w:space="0" w:color="auto"/>
            </w:tcBorders>
            <w:shd w:val="clear" w:color="000000" w:fill="FFFFFF"/>
            <w:hideMark/>
          </w:tcPr>
          <w:p w14:paraId="554FF62E" w14:textId="460DD131" w:rsidR="00C15D91" w:rsidRPr="00BB318A" w:rsidRDefault="00C15D91" w:rsidP="00C15D91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B318A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Prihodi od poreza</w:t>
            </w:r>
          </w:p>
        </w:tc>
        <w:tc>
          <w:tcPr>
            <w:tcW w:w="605" w:type="pct"/>
            <w:tcBorders>
              <w:top w:val="nil"/>
              <w:bottom w:val="single" w:sz="4" w:space="0" w:color="auto"/>
            </w:tcBorders>
            <w:shd w:val="clear" w:color="000000" w:fill="FFFFFF"/>
            <w:vAlign w:val="bottom"/>
          </w:tcPr>
          <w:p w14:paraId="77A43546" w14:textId="0871BD72" w:rsidR="00C15D91" w:rsidRPr="00C15D91" w:rsidRDefault="00C15D91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10EC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40.101,92</w:t>
            </w:r>
          </w:p>
        </w:tc>
        <w:tc>
          <w:tcPr>
            <w:tcW w:w="604" w:type="pct"/>
            <w:tcBorders>
              <w:top w:val="nil"/>
              <w:bottom w:val="single" w:sz="4" w:space="0" w:color="auto"/>
            </w:tcBorders>
            <w:shd w:val="clear" w:color="000000" w:fill="FFFFFF"/>
            <w:vAlign w:val="bottom"/>
          </w:tcPr>
          <w:p w14:paraId="719CB437" w14:textId="0E7D6A07" w:rsidR="00C15D91" w:rsidRPr="00C15D91" w:rsidRDefault="00C15D91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10EC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163.000,00</w:t>
            </w:r>
          </w:p>
        </w:tc>
        <w:tc>
          <w:tcPr>
            <w:tcW w:w="606" w:type="pct"/>
            <w:tcBorders>
              <w:top w:val="nil"/>
              <w:bottom w:val="single" w:sz="4" w:space="0" w:color="auto"/>
            </w:tcBorders>
            <w:shd w:val="clear" w:color="000000" w:fill="FFFFFF"/>
            <w:vAlign w:val="bottom"/>
          </w:tcPr>
          <w:p w14:paraId="23BA9080" w14:textId="7C593713" w:rsidR="00C15D91" w:rsidRPr="00C15D91" w:rsidRDefault="00C15D91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10EC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83.242,94</w:t>
            </w:r>
          </w:p>
        </w:tc>
        <w:tc>
          <w:tcPr>
            <w:tcW w:w="439" w:type="pct"/>
            <w:tcBorders>
              <w:top w:val="nil"/>
              <w:bottom w:val="single" w:sz="4" w:space="0" w:color="auto"/>
            </w:tcBorders>
            <w:shd w:val="clear" w:color="000000" w:fill="FFFFFF"/>
            <w:vAlign w:val="bottom"/>
          </w:tcPr>
          <w:p w14:paraId="47465557" w14:textId="05A2DE60" w:rsidR="00C15D91" w:rsidRPr="00C15D91" w:rsidRDefault="00C15D91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10EC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207,58%</w:t>
            </w:r>
          </w:p>
        </w:tc>
        <w:tc>
          <w:tcPr>
            <w:tcW w:w="457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044D873" w14:textId="5439AFC3" w:rsidR="00C15D91" w:rsidRPr="00C15D91" w:rsidRDefault="00C15D91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10EC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51,07%</w:t>
            </w:r>
          </w:p>
        </w:tc>
      </w:tr>
      <w:tr w:rsidR="00C15D91" w:rsidRPr="00BB318A" w14:paraId="34AAB791" w14:textId="77777777" w:rsidTr="00C15D91">
        <w:trPr>
          <w:trHeight w:val="227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0F596544" w14:textId="136EE909" w:rsidR="00C15D91" w:rsidRPr="00BB318A" w:rsidRDefault="00C15D91" w:rsidP="00C15D9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</w:p>
        </w:tc>
        <w:tc>
          <w:tcPr>
            <w:tcW w:w="268" w:type="pct"/>
            <w:tcBorders>
              <w:top w:val="nil"/>
              <w:bottom w:val="single" w:sz="4" w:space="0" w:color="auto"/>
            </w:tcBorders>
            <w:shd w:val="clear" w:color="000000" w:fill="FFFFFF"/>
          </w:tcPr>
          <w:p w14:paraId="6DDACB85" w14:textId="0A5671E1" w:rsidR="00C15D91" w:rsidRPr="000269E3" w:rsidRDefault="00C15D91" w:rsidP="00C15D9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B318A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63</w:t>
            </w:r>
          </w:p>
        </w:tc>
        <w:tc>
          <w:tcPr>
            <w:tcW w:w="1893" w:type="pct"/>
            <w:tcBorders>
              <w:top w:val="nil"/>
              <w:bottom w:val="single" w:sz="4" w:space="0" w:color="auto"/>
            </w:tcBorders>
            <w:shd w:val="clear" w:color="000000" w:fill="FFFFFF"/>
            <w:hideMark/>
          </w:tcPr>
          <w:p w14:paraId="738EA7D5" w14:textId="15F83375" w:rsidR="00C15D91" w:rsidRPr="00BB318A" w:rsidRDefault="00C15D91" w:rsidP="00C15D91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B318A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Pomoći iz inozemstva i od subjekata unutar općeg proračuna</w:t>
            </w:r>
          </w:p>
        </w:tc>
        <w:tc>
          <w:tcPr>
            <w:tcW w:w="605" w:type="pct"/>
            <w:tcBorders>
              <w:top w:val="nil"/>
              <w:bottom w:val="single" w:sz="4" w:space="0" w:color="auto"/>
            </w:tcBorders>
            <w:shd w:val="clear" w:color="000000" w:fill="FFFFFF"/>
            <w:vAlign w:val="bottom"/>
          </w:tcPr>
          <w:p w14:paraId="42C9972E" w14:textId="4418B018" w:rsidR="00C15D91" w:rsidRPr="00C15D91" w:rsidRDefault="00C15D91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10EC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291.871,93</w:t>
            </w:r>
          </w:p>
        </w:tc>
        <w:tc>
          <w:tcPr>
            <w:tcW w:w="604" w:type="pct"/>
            <w:tcBorders>
              <w:top w:val="nil"/>
              <w:bottom w:val="single" w:sz="4" w:space="0" w:color="auto"/>
            </w:tcBorders>
            <w:shd w:val="clear" w:color="000000" w:fill="FFFFFF"/>
            <w:vAlign w:val="bottom"/>
          </w:tcPr>
          <w:p w14:paraId="4AB9A2D7" w14:textId="022863E9" w:rsidR="00C15D91" w:rsidRPr="00C15D91" w:rsidRDefault="00C15D91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10EC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665.000,00</w:t>
            </w:r>
          </w:p>
        </w:tc>
        <w:tc>
          <w:tcPr>
            <w:tcW w:w="606" w:type="pct"/>
            <w:tcBorders>
              <w:top w:val="nil"/>
              <w:bottom w:val="single" w:sz="4" w:space="0" w:color="auto"/>
            </w:tcBorders>
            <w:shd w:val="clear" w:color="000000" w:fill="FFFFFF"/>
            <w:vAlign w:val="bottom"/>
          </w:tcPr>
          <w:p w14:paraId="4EA8F7DC" w14:textId="628D974B" w:rsidR="00C15D91" w:rsidRPr="00C15D91" w:rsidRDefault="00C15D91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10EC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185.698,68</w:t>
            </w:r>
          </w:p>
        </w:tc>
        <w:tc>
          <w:tcPr>
            <w:tcW w:w="439" w:type="pct"/>
            <w:tcBorders>
              <w:top w:val="nil"/>
              <w:bottom w:val="single" w:sz="4" w:space="0" w:color="auto"/>
            </w:tcBorders>
            <w:shd w:val="clear" w:color="000000" w:fill="FFFFFF"/>
            <w:vAlign w:val="bottom"/>
          </w:tcPr>
          <w:p w14:paraId="43398006" w14:textId="6CF1F42F" w:rsidR="00C15D91" w:rsidRPr="00C15D91" w:rsidRDefault="00C15D91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10EC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63,62%</w:t>
            </w:r>
          </w:p>
        </w:tc>
        <w:tc>
          <w:tcPr>
            <w:tcW w:w="457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FF13C80" w14:textId="19319B0C" w:rsidR="00C15D91" w:rsidRPr="00C15D91" w:rsidRDefault="00C15D91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10EC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27,92%</w:t>
            </w:r>
          </w:p>
        </w:tc>
      </w:tr>
      <w:tr w:rsidR="00C15D91" w:rsidRPr="00BB318A" w14:paraId="03D654FB" w14:textId="77777777" w:rsidTr="00C15D91">
        <w:trPr>
          <w:trHeight w:val="227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145110F1" w14:textId="20EEC3E1" w:rsidR="00C15D91" w:rsidRPr="00BB318A" w:rsidRDefault="00C15D91" w:rsidP="00C15D9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</w:p>
        </w:tc>
        <w:tc>
          <w:tcPr>
            <w:tcW w:w="268" w:type="pct"/>
            <w:tcBorders>
              <w:top w:val="nil"/>
              <w:bottom w:val="single" w:sz="4" w:space="0" w:color="auto"/>
            </w:tcBorders>
            <w:shd w:val="clear" w:color="000000" w:fill="FFFFFF"/>
          </w:tcPr>
          <w:p w14:paraId="142B1A7D" w14:textId="315B8853" w:rsidR="00C15D91" w:rsidRPr="000269E3" w:rsidRDefault="00C15D91" w:rsidP="00C15D9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B318A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64</w:t>
            </w:r>
          </w:p>
        </w:tc>
        <w:tc>
          <w:tcPr>
            <w:tcW w:w="1893" w:type="pct"/>
            <w:tcBorders>
              <w:top w:val="nil"/>
              <w:bottom w:val="single" w:sz="4" w:space="0" w:color="auto"/>
            </w:tcBorders>
            <w:shd w:val="clear" w:color="000000" w:fill="FFFFFF"/>
            <w:hideMark/>
          </w:tcPr>
          <w:p w14:paraId="0503AA2C" w14:textId="7DBE9A1C" w:rsidR="00C15D91" w:rsidRPr="00BB318A" w:rsidRDefault="00C15D91" w:rsidP="00C15D91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B318A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Prihodi od imovine</w:t>
            </w:r>
          </w:p>
        </w:tc>
        <w:tc>
          <w:tcPr>
            <w:tcW w:w="605" w:type="pct"/>
            <w:tcBorders>
              <w:top w:val="nil"/>
              <w:bottom w:val="single" w:sz="4" w:space="0" w:color="auto"/>
            </w:tcBorders>
            <w:shd w:val="clear" w:color="000000" w:fill="FFFFFF"/>
            <w:vAlign w:val="bottom"/>
          </w:tcPr>
          <w:p w14:paraId="78A40B6F" w14:textId="1F15EB76" w:rsidR="00C15D91" w:rsidRPr="00C15D91" w:rsidRDefault="00C15D91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10EC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12.016,84</w:t>
            </w:r>
          </w:p>
        </w:tc>
        <w:tc>
          <w:tcPr>
            <w:tcW w:w="604" w:type="pct"/>
            <w:tcBorders>
              <w:top w:val="nil"/>
              <w:bottom w:val="single" w:sz="4" w:space="0" w:color="auto"/>
            </w:tcBorders>
            <w:shd w:val="clear" w:color="000000" w:fill="FFFFFF"/>
            <w:vAlign w:val="bottom"/>
          </w:tcPr>
          <w:p w14:paraId="48579D08" w14:textId="26F6C803" w:rsidR="00C15D91" w:rsidRPr="00C15D91" w:rsidRDefault="00C15D91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10EC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59.900,00</w:t>
            </w:r>
          </w:p>
        </w:tc>
        <w:tc>
          <w:tcPr>
            <w:tcW w:w="606" w:type="pct"/>
            <w:tcBorders>
              <w:top w:val="nil"/>
              <w:bottom w:val="single" w:sz="4" w:space="0" w:color="auto"/>
            </w:tcBorders>
            <w:shd w:val="clear" w:color="000000" w:fill="FFFFFF"/>
            <w:vAlign w:val="bottom"/>
          </w:tcPr>
          <w:p w14:paraId="6430118C" w14:textId="6463F321" w:rsidR="00C15D91" w:rsidRPr="00C15D91" w:rsidRDefault="00C15D91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10EC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9.867,38</w:t>
            </w:r>
          </w:p>
        </w:tc>
        <w:tc>
          <w:tcPr>
            <w:tcW w:w="439" w:type="pct"/>
            <w:tcBorders>
              <w:top w:val="nil"/>
              <w:bottom w:val="single" w:sz="4" w:space="0" w:color="auto"/>
            </w:tcBorders>
            <w:shd w:val="clear" w:color="000000" w:fill="FFFFFF"/>
            <w:vAlign w:val="bottom"/>
          </w:tcPr>
          <w:p w14:paraId="231E194E" w14:textId="6973233C" w:rsidR="00C15D91" w:rsidRPr="00C15D91" w:rsidRDefault="00C15D91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10EC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82,11%</w:t>
            </w:r>
          </w:p>
        </w:tc>
        <w:tc>
          <w:tcPr>
            <w:tcW w:w="457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4BD78F6" w14:textId="011BA45F" w:rsidR="00C15D91" w:rsidRPr="00C15D91" w:rsidRDefault="00C15D91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10EC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16,47%</w:t>
            </w:r>
          </w:p>
        </w:tc>
      </w:tr>
      <w:tr w:rsidR="00C15D91" w:rsidRPr="00BB318A" w14:paraId="614BD514" w14:textId="77777777" w:rsidTr="00C15D91">
        <w:trPr>
          <w:trHeight w:val="227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5086CBF8" w14:textId="02DD5EC4" w:rsidR="00C15D91" w:rsidRPr="00BB318A" w:rsidRDefault="00C15D91" w:rsidP="00C15D9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</w:p>
        </w:tc>
        <w:tc>
          <w:tcPr>
            <w:tcW w:w="268" w:type="pct"/>
            <w:tcBorders>
              <w:top w:val="nil"/>
              <w:bottom w:val="single" w:sz="4" w:space="0" w:color="auto"/>
            </w:tcBorders>
            <w:shd w:val="clear" w:color="000000" w:fill="FFFFFF"/>
          </w:tcPr>
          <w:p w14:paraId="2CE3428E" w14:textId="1F89ABD9" w:rsidR="00C15D91" w:rsidRPr="000269E3" w:rsidRDefault="00C15D91" w:rsidP="00C15D9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B318A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65</w:t>
            </w:r>
          </w:p>
        </w:tc>
        <w:tc>
          <w:tcPr>
            <w:tcW w:w="1893" w:type="pct"/>
            <w:tcBorders>
              <w:top w:val="nil"/>
              <w:bottom w:val="single" w:sz="4" w:space="0" w:color="auto"/>
            </w:tcBorders>
            <w:shd w:val="clear" w:color="000000" w:fill="FFFFFF"/>
            <w:hideMark/>
          </w:tcPr>
          <w:p w14:paraId="5E4BB811" w14:textId="54A3D9B1" w:rsidR="00C15D91" w:rsidRPr="00BB318A" w:rsidRDefault="00C15D91" w:rsidP="00C15D91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B318A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605" w:type="pct"/>
            <w:tcBorders>
              <w:top w:val="nil"/>
              <w:bottom w:val="single" w:sz="4" w:space="0" w:color="auto"/>
            </w:tcBorders>
            <w:shd w:val="clear" w:color="000000" w:fill="FFFFFF"/>
            <w:vAlign w:val="bottom"/>
          </w:tcPr>
          <w:p w14:paraId="19E14F40" w14:textId="1C7D6F62" w:rsidR="00C15D91" w:rsidRPr="00C15D91" w:rsidRDefault="00C15D91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10EC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38.254,38</w:t>
            </w:r>
          </w:p>
        </w:tc>
        <w:tc>
          <w:tcPr>
            <w:tcW w:w="604" w:type="pct"/>
            <w:tcBorders>
              <w:top w:val="nil"/>
              <w:bottom w:val="single" w:sz="4" w:space="0" w:color="auto"/>
            </w:tcBorders>
            <w:shd w:val="clear" w:color="000000" w:fill="FFFFFF"/>
            <w:vAlign w:val="bottom"/>
          </w:tcPr>
          <w:p w14:paraId="73AA1361" w14:textId="1326D627" w:rsidR="00C15D91" w:rsidRPr="00C15D91" w:rsidRDefault="00C15D91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10EC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118.600,00</w:t>
            </w:r>
          </w:p>
        </w:tc>
        <w:tc>
          <w:tcPr>
            <w:tcW w:w="606" w:type="pct"/>
            <w:tcBorders>
              <w:top w:val="nil"/>
              <w:bottom w:val="single" w:sz="4" w:space="0" w:color="auto"/>
            </w:tcBorders>
            <w:shd w:val="clear" w:color="000000" w:fill="FFFFFF"/>
            <w:vAlign w:val="bottom"/>
          </w:tcPr>
          <w:p w14:paraId="5EB654DE" w14:textId="53F24316" w:rsidR="00C15D91" w:rsidRPr="00C15D91" w:rsidRDefault="00C15D91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10EC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29.838,38</w:t>
            </w:r>
          </w:p>
        </w:tc>
        <w:tc>
          <w:tcPr>
            <w:tcW w:w="439" w:type="pct"/>
            <w:tcBorders>
              <w:top w:val="nil"/>
              <w:bottom w:val="single" w:sz="4" w:space="0" w:color="auto"/>
            </w:tcBorders>
            <w:shd w:val="clear" w:color="000000" w:fill="FFFFFF"/>
            <w:vAlign w:val="bottom"/>
          </w:tcPr>
          <w:p w14:paraId="13E2A064" w14:textId="10048BEF" w:rsidR="00C15D91" w:rsidRPr="00C15D91" w:rsidRDefault="00C15D91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10EC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78,00%</w:t>
            </w:r>
          </w:p>
        </w:tc>
        <w:tc>
          <w:tcPr>
            <w:tcW w:w="457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82FEAB3" w14:textId="1978FF08" w:rsidR="00C15D91" w:rsidRPr="00C15D91" w:rsidRDefault="00C15D91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10EC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25,16%</w:t>
            </w:r>
          </w:p>
        </w:tc>
      </w:tr>
      <w:tr w:rsidR="00C15D91" w:rsidRPr="00BB318A" w14:paraId="7B7E957E" w14:textId="77777777" w:rsidTr="00C15D91">
        <w:trPr>
          <w:trHeight w:val="227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353A4A71" w14:textId="01893862" w:rsidR="00C15D91" w:rsidRPr="00BB318A" w:rsidRDefault="00C15D91" w:rsidP="00C15D9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</w:p>
        </w:tc>
        <w:tc>
          <w:tcPr>
            <w:tcW w:w="268" w:type="pct"/>
            <w:tcBorders>
              <w:top w:val="nil"/>
              <w:bottom w:val="single" w:sz="4" w:space="0" w:color="auto"/>
            </w:tcBorders>
            <w:shd w:val="clear" w:color="000000" w:fill="FFFFFF"/>
          </w:tcPr>
          <w:p w14:paraId="478CE491" w14:textId="7F92798C" w:rsidR="00C15D91" w:rsidRPr="000269E3" w:rsidRDefault="00C15D91" w:rsidP="00C15D9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B318A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68</w:t>
            </w:r>
          </w:p>
        </w:tc>
        <w:tc>
          <w:tcPr>
            <w:tcW w:w="1893" w:type="pct"/>
            <w:tcBorders>
              <w:top w:val="nil"/>
              <w:bottom w:val="single" w:sz="4" w:space="0" w:color="auto"/>
            </w:tcBorders>
            <w:shd w:val="clear" w:color="000000" w:fill="FFFFFF"/>
            <w:hideMark/>
          </w:tcPr>
          <w:p w14:paraId="1846934A" w14:textId="257D009A" w:rsidR="00C15D91" w:rsidRPr="00BB318A" w:rsidRDefault="00C15D91" w:rsidP="00C15D91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B318A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Kazne, upravne mjere i ostali prihodi</w:t>
            </w:r>
          </w:p>
        </w:tc>
        <w:tc>
          <w:tcPr>
            <w:tcW w:w="605" w:type="pct"/>
            <w:tcBorders>
              <w:top w:val="nil"/>
              <w:bottom w:val="single" w:sz="4" w:space="0" w:color="auto"/>
            </w:tcBorders>
            <w:shd w:val="clear" w:color="000000" w:fill="FFFFFF"/>
            <w:vAlign w:val="bottom"/>
          </w:tcPr>
          <w:p w14:paraId="668D473C" w14:textId="51DC9A04" w:rsidR="00C15D91" w:rsidRPr="00C15D91" w:rsidRDefault="00C15D91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10EC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0,00</w:t>
            </w:r>
          </w:p>
        </w:tc>
        <w:tc>
          <w:tcPr>
            <w:tcW w:w="604" w:type="pct"/>
            <w:tcBorders>
              <w:top w:val="nil"/>
              <w:bottom w:val="single" w:sz="4" w:space="0" w:color="auto"/>
            </w:tcBorders>
            <w:shd w:val="clear" w:color="000000" w:fill="FFFFFF"/>
            <w:vAlign w:val="bottom"/>
          </w:tcPr>
          <w:p w14:paraId="54F2C254" w14:textId="170D6991" w:rsidR="00C15D91" w:rsidRPr="00C15D91" w:rsidRDefault="00C15D91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10EC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3.500,00</w:t>
            </w:r>
          </w:p>
        </w:tc>
        <w:tc>
          <w:tcPr>
            <w:tcW w:w="606" w:type="pct"/>
            <w:tcBorders>
              <w:top w:val="nil"/>
              <w:bottom w:val="single" w:sz="4" w:space="0" w:color="auto"/>
            </w:tcBorders>
            <w:shd w:val="clear" w:color="000000" w:fill="FFFFFF"/>
            <w:vAlign w:val="bottom"/>
          </w:tcPr>
          <w:p w14:paraId="00160230" w14:textId="7897988B" w:rsidR="00C15D91" w:rsidRPr="00C15D91" w:rsidRDefault="00C15D91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10EC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bottom w:val="single" w:sz="4" w:space="0" w:color="auto"/>
            </w:tcBorders>
            <w:shd w:val="clear" w:color="000000" w:fill="FFFFFF"/>
            <w:vAlign w:val="bottom"/>
          </w:tcPr>
          <w:p w14:paraId="675E8D9A" w14:textId="6AC40787" w:rsidR="00C15D91" w:rsidRPr="00C15D91" w:rsidRDefault="00C15D91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10EC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0,00%</w:t>
            </w:r>
          </w:p>
        </w:tc>
        <w:tc>
          <w:tcPr>
            <w:tcW w:w="457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16B468E" w14:textId="7D61A9C5" w:rsidR="00C15D91" w:rsidRPr="00C15D91" w:rsidRDefault="00C15D91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10EC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0,00%</w:t>
            </w:r>
          </w:p>
        </w:tc>
      </w:tr>
      <w:tr w:rsidR="00C15D91" w:rsidRPr="00BB318A" w14:paraId="2551B5F5" w14:textId="77777777" w:rsidTr="001617F4">
        <w:trPr>
          <w:trHeight w:val="227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FFFFF"/>
            <w:hideMark/>
          </w:tcPr>
          <w:p w14:paraId="4239EFCB" w14:textId="77777777" w:rsidR="00C15D91" w:rsidRPr="00BB318A" w:rsidRDefault="00C15D91" w:rsidP="00C15D9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B318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</w:t>
            </w:r>
          </w:p>
        </w:tc>
        <w:tc>
          <w:tcPr>
            <w:tcW w:w="2161" w:type="pct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</w:tcPr>
          <w:p w14:paraId="43B123AD" w14:textId="330C27D5" w:rsidR="00C15D91" w:rsidRPr="00BB318A" w:rsidRDefault="00C15D91" w:rsidP="00C15D91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B318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PRIHODI OD PRODAJE NEFINANCIJSKE IMOVINE</w:t>
            </w:r>
          </w:p>
        </w:tc>
        <w:tc>
          <w:tcPr>
            <w:tcW w:w="605" w:type="pct"/>
            <w:tcBorders>
              <w:top w:val="nil"/>
              <w:bottom w:val="single" w:sz="4" w:space="0" w:color="auto"/>
            </w:tcBorders>
            <w:shd w:val="clear" w:color="000000" w:fill="FFFFFF"/>
            <w:vAlign w:val="bottom"/>
          </w:tcPr>
          <w:p w14:paraId="7DB27105" w14:textId="2E6075A1" w:rsidR="00C15D91" w:rsidRPr="00BB318A" w:rsidRDefault="00C15D91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0EC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12.570,07</w:t>
            </w:r>
          </w:p>
        </w:tc>
        <w:tc>
          <w:tcPr>
            <w:tcW w:w="604" w:type="pct"/>
            <w:tcBorders>
              <w:top w:val="nil"/>
              <w:bottom w:val="single" w:sz="4" w:space="0" w:color="auto"/>
            </w:tcBorders>
            <w:shd w:val="clear" w:color="000000" w:fill="FFFFFF"/>
            <w:vAlign w:val="bottom"/>
          </w:tcPr>
          <w:p w14:paraId="41A6D077" w14:textId="458D7C00" w:rsidR="00C15D91" w:rsidRPr="00BB318A" w:rsidRDefault="00C15D91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0EC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1.462.000,00</w:t>
            </w:r>
          </w:p>
        </w:tc>
        <w:tc>
          <w:tcPr>
            <w:tcW w:w="606" w:type="pct"/>
            <w:tcBorders>
              <w:top w:val="nil"/>
              <w:bottom w:val="single" w:sz="4" w:space="0" w:color="auto"/>
            </w:tcBorders>
            <w:shd w:val="clear" w:color="000000" w:fill="FFFFFF"/>
            <w:vAlign w:val="bottom"/>
          </w:tcPr>
          <w:p w14:paraId="3798449D" w14:textId="5FDAF606" w:rsidR="00C15D91" w:rsidRPr="00BB318A" w:rsidRDefault="00C15D91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0EC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455,68</w:t>
            </w:r>
          </w:p>
        </w:tc>
        <w:tc>
          <w:tcPr>
            <w:tcW w:w="439" w:type="pct"/>
            <w:tcBorders>
              <w:top w:val="nil"/>
              <w:bottom w:val="single" w:sz="4" w:space="0" w:color="auto"/>
            </w:tcBorders>
            <w:shd w:val="clear" w:color="000000" w:fill="FFFFFF"/>
            <w:vAlign w:val="bottom"/>
          </w:tcPr>
          <w:p w14:paraId="678D1DA4" w14:textId="6E1D1ED7" w:rsidR="00C15D91" w:rsidRPr="00BB318A" w:rsidRDefault="00C15D91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0EC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3,63%</w:t>
            </w:r>
          </w:p>
        </w:tc>
        <w:tc>
          <w:tcPr>
            <w:tcW w:w="457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BB6F7EB" w14:textId="6E351610" w:rsidR="00C15D91" w:rsidRPr="00BB318A" w:rsidRDefault="00C15D91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10EC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0,03%</w:t>
            </w:r>
          </w:p>
        </w:tc>
      </w:tr>
      <w:tr w:rsidR="00C15D91" w:rsidRPr="00BB318A" w14:paraId="2F23A955" w14:textId="77777777" w:rsidTr="001617F4">
        <w:trPr>
          <w:trHeight w:val="227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4ABE4BB3" w14:textId="489A0E5C" w:rsidR="00C15D91" w:rsidRPr="00BB318A" w:rsidRDefault="00C15D91" w:rsidP="00C15D9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</w:p>
        </w:tc>
        <w:tc>
          <w:tcPr>
            <w:tcW w:w="268" w:type="pct"/>
            <w:tcBorders>
              <w:top w:val="nil"/>
              <w:bottom w:val="single" w:sz="4" w:space="0" w:color="auto"/>
            </w:tcBorders>
            <w:shd w:val="clear" w:color="000000" w:fill="FFFFFF"/>
          </w:tcPr>
          <w:p w14:paraId="0466EB6A" w14:textId="23148928" w:rsidR="00C15D91" w:rsidRPr="000269E3" w:rsidRDefault="00C15D91" w:rsidP="00C15D9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B318A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71</w:t>
            </w:r>
          </w:p>
        </w:tc>
        <w:tc>
          <w:tcPr>
            <w:tcW w:w="1893" w:type="pct"/>
            <w:tcBorders>
              <w:top w:val="nil"/>
              <w:bottom w:val="single" w:sz="4" w:space="0" w:color="auto"/>
            </w:tcBorders>
            <w:shd w:val="clear" w:color="000000" w:fill="FFFFFF"/>
            <w:hideMark/>
          </w:tcPr>
          <w:p w14:paraId="016AE7C0" w14:textId="28B35F97" w:rsidR="00C15D91" w:rsidRPr="00BB318A" w:rsidRDefault="00C15D91" w:rsidP="00C15D91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B318A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 xml:space="preserve">Prihodi od prodaje </w:t>
            </w:r>
            <w:proofErr w:type="spellStart"/>
            <w:r w:rsidRPr="00BB318A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neproizvedene</w:t>
            </w:r>
            <w:proofErr w:type="spellEnd"/>
            <w:r w:rsidRPr="00BB318A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 xml:space="preserve"> dugotrajne imovine</w:t>
            </w:r>
          </w:p>
        </w:tc>
        <w:tc>
          <w:tcPr>
            <w:tcW w:w="605" w:type="pct"/>
            <w:tcBorders>
              <w:top w:val="nil"/>
              <w:bottom w:val="single" w:sz="4" w:space="0" w:color="auto"/>
            </w:tcBorders>
            <w:shd w:val="clear" w:color="000000" w:fill="FFFFFF"/>
            <w:vAlign w:val="bottom"/>
          </w:tcPr>
          <w:p w14:paraId="7D495C6E" w14:textId="1F7AA103" w:rsidR="00C15D91" w:rsidRPr="00C15D91" w:rsidRDefault="00C15D91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10EC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2.435,07</w:t>
            </w:r>
          </w:p>
        </w:tc>
        <w:tc>
          <w:tcPr>
            <w:tcW w:w="604" w:type="pct"/>
            <w:tcBorders>
              <w:top w:val="nil"/>
              <w:bottom w:val="single" w:sz="4" w:space="0" w:color="auto"/>
            </w:tcBorders>
            <w:shd w:val="clear" w:color="000000" w:fill="FFFFFF"/>
            <w:vAlign w:val="bottom"/>
          </w:tcPr>
          <w:p w14:paraId="026BE433" w14:textId="3E7FA0CB" w:rsidR="00C15D91" w:rsidRPr="00C15D91" w:rsidRDefault="00C15D91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10EC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64.000,00</w:t>
            </w:r>
          </w:p>
        </w:tc>
        <w:tc>
          <w:tcPr>
            <w:tcW w:w="606" w:type="pct"/>
            <w:tcBorders>
              <w:top w:val="nil"/>
              <w:bottom w:val="single" w:sz="4" w:space="0" w:color="auto"/>
            </w:tcBorders>
            <w:shd w:val="clear" w:color="000000" w:fill="FFFFFF"/>
            <w:vAlign w:val="bottom"/>
          </w:tcPr>
          <w:p w14:paraId="001E1754" w14:textId="41486822" w:rsidR="00C15D91" w:rsidRPr="00C15D91" w:rsidRDefault="00C15D91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10EC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455,68</w:t>
            </w:r>
          </w:p>
        </w:tc>
        <w:tc>
          <w:tcPr>
            <w:tcW w:w="439" w:type="pct"/>
            <w:tcBorders>
              <w:top w:val="nil"/>
              <w:bottom w:val="single" w:sz="4" w:space="0" w:color="auto"/>
            </w:tcBorders>
            <w:shd w:val="clear" w:color="000000" w:fill="FFFFFF"/>
            <w:vAlign w:val="bottom"/>
          </w:tcPr>
          <w:p w14:paraId="1D7197BC" w14:textId="11CFB8C5" w:rsidR="00C15D91" w:rsidRPr="00C15D91" w:rsidRDefault="00C15D91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10EC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18,71%</w:t>
            </w:r>
          </w:p>
        </w:tc>
        <w:tc>
          <w:tcPr>
            <w:tcW w:w="457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9D6C3D6" w14:textId="68F01DED" w:rsidR="00C15D91" w:rsidRPr="00C15D91" w:rsidRDefault="00C15D91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10EC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0,71%</w:t>
            </w:r>
          </w:p>
        </w:tc>
      </w:tr>
      <w:tr w:rsidR="00C15D91" w:rsidRPr="00BB318A" w14:paraId="5E385A43" w14:textId="77777777" w:rsidTr="001617F4">
        <w:trPr>
          <w:trHeight w:val="227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FFFFF"/>
          </w:tcPr>
          <w:p w14:paraId="0623EB63" w14:textId="5925B85C" w:rsidR="00C15D91" w:rsidRPr="00BB318A" w:rsidRDefault="00C15D91" w:rsidP="00C15D9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</w:p>
        </w:tc>
        <w:tc>
          <w:tcPr>
            <w:tcW w:w="268" w:type="pct"/>
            <w:tcBorders>
              <w:top w:val="nil"/>
              <w:bottom w:val="single" w:sz="4" w:space="0" w:color="auto"/>
            </w:tcBorders>
            <w:shd w:val="clear" w:color="000000" w:fill="FFFFFF"/>
          </w:tcPr>
          <w:p w14:paraId="7AAF3A4E" w14:textId="65DE8DEF" w:rsidR="00C15D91" w:rsidRPr="000269E3" w:rsidRDefault="00C15D91" w:rsidP="00C15D9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B318A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72</w:t>
            </w:r>
          </w:p>
        </w:tc>
        <w:tc>
          <w:tcPr>
            <w:tcW w:w="1893" w:type="pct"/>
            <w:tcBorders>
              <w:top w:val="nil"/>
              <w:bottom w:val="single" w:sz="4" w:space="0" w:color="auto"/>
            </w:tcBorders>
            <w:shd w:val="clear" w:color="000000" w:fill="FFFFFF"/>
            <w:hideMark/>
          </w:tcPr>
          <w:p w14:paraId="2B09EFB6" w14:textId="7B6206E3" w:rsidR="00C15D91" w:rsidRPr="00BB318A" w:rsidRDefault="00C15D91" w:rsidP="00C15D91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B318A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Prihodi od prodaje proizvedene dugotrajne imovine</w:t>
            </w:r>
          </w:p>
        </w:tc>
        <w:tc>
          <w:tcPr>
            <w:tcW w:w="605" w:type="pct"/>
            <w:tcBorders>
              <w:top w:val="nil"/>
              <w:bottom w:val="single" w:sz="4" w:space="0" w:color="auto"/>
            </w:tcBorders>
            <w:shd w:val="clear" w:color="000000" w:fill="FFFFFF"/>
            <w:vAlign w:val="bottom"/>
          </w:tcPr>
          <w:p w14:paraId="373DDC2E" w14:textId="5EB90E6C" w:rsidR="00C15D91" w:rsidRPr="00C15D91" w:rsidRDefault="00C15D91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10EC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10.135,00</w:t>
            </w:r>
          </w:p>
        </w:tc>
        <w:tc>
          <w:tcPr>
            <w:tcW w:w="604" w:type="pct"/>
            <w:tcBorders>
              <w:top w:val="nil"/>
              <w:bottom w:val="single" w:sz="4" w:space="0" w:color="auto"/>
            </w:tcBorders>
            <w:shd w:val="clear" w:color="000000" w:fill="FFFFFF"/>
            <w:vAlign w:val="bottom"/>
          </w:tcPr>
          <w:p w14:paraId="5B3499FD" w14:textId="7C6B32B4" w:rsidR="00C15D91" w:rsidRPr="00C15D91" w:rsidRDefault="00C15D91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10EC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1.398.000,00</w:t>
            </w:r>
          </w:p>
        </w:tc>
        <w:tc>
          <w:tcPr>
            <w:tcW w:w="606" w:type="pct"/>
            <w:tcBorders>
              <w:top w:val="nil"/>
              <w:bottom w:val="single" w:sz="4" w:space="0" w:color="auto"/>
            </w:tcBorders>
            <w:shd w:val="clear" w:color="000000" w:fill="FFFFFF"/>
            <w:vAlign w:val="bottom"/>
          </w:tcPr>
          <w:p w14:paraId="0C04717B" w14:textId="37850BB1" w:rsidR="00C15D91" w:rsidRPr="00C15D91" w:rsidRDefault="00C15D91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10EC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bottom w:val="single" w:sz="4" w:space="0" w:color="auto"/>
            </w:tcBorders>
            <w:shd w:val="clear" w:color="000000" w:fill="FFFFFF"/>
            <w:vAlign w:val="bottom"/>
          </w:tcPr>
          <w:p w14:paraId="218224BF" w14:textId="061E5926" w:rsidR="00C15D91" w:rsidRPr="00C15D91" w:rsidRDefault="00C15D91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10EC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0,00%</w:t>
            </w:r>
          </w:p>
        </w:tc>
        <w:tc>
          <w:tcPr>
            <w:tcW w:w="457" w:type="pct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C87B8C" w14:textId="554EC418" w:rsidR="00C15D91" w:rsidRPr="00C15D91" w:rsidRDefault="00C15D91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410EC1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0,00%</w:t>
            </w:r>
          </w:p>
        </w:tc>
      </w:tr>
      <w:tr w:rsidR="00C15D91" w:rsidRPr="00BB318A" w14:paraId="344339E0" w14:textId="77777777" w:rsidTr="00C15D91">
        <w:trPr>
          <w:trHeight w:val="227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FFFFF"/>
            <w:hideMark/>
          </w:tcPr>
          <w:p w14:paraId="32EBA338" w14:textId="77777777" w:rsidR="00C15D91" w:rsidRPr="00BB318A" w:rsidRDefault="00C15D91" w:rsidP="00C15D9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B318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</w:t>
            </w:r>
          </w:p>
        </w:tc>
        <w:tc>
          <w:tcPr>
            <w:tcW w:w="2161" w:type="pct"/>
            <w:gridSpan w:val="2"/>
            <w:tcBorders>
              <w:top w:val="nil"/>
              <w:bottom w:val="single" w:sz="4" w:space="0" w:color="auto"/>
            </w:tcBorders>
            <w:shd w:val="clear" w:color="000000" w:fill="FFFFFF"/>
          </w:tcPr>
          <w:p w14:paraId="14E15DE2" w14:textId="3D648422" w:rsidR="00C15D91" w:rsidRPr="00BB318A" w:rsidRDefault="00C15D91" w:rsidP="00C15D91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B318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PRIMICI OD FINANCIJSKE IMOVINE I ZADUŽIVANJA</w:t>
            </w:r>
          </w:p>
        </w:tc>
        <w:tc>
          <w:tcPr>
            <w:tcW w:w="605" w:type="pct"/>
            <w:tcBorders>
              <w:top w:val="single" w:sz="4" w:space="0" w:color="000000"/>
              <w:bottom w:val="single" w:sz="4" w:space="0" w:color="000000"/>
            </w:tcBorders>
            <w:shd w:val="clear" w:color="000000" w:fill="FFFFFF"/>
            <w:vAlign w:val="bottom"/>
          </w:tcPr>
          <w:p w14:paraId="24DB65F8" w14:textId="7F288A2F" w:rsidR="00C15D91" w:rsidRPr="00BB318A" w:rsidRDefault="00C15D91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10.000,00</w:t>
            </w:r>
          </w:p>
        </w:tc>
        <w:tc>
          <w:tcPr>
            <w:tcW w:w="604" w:type="pct"/>
            <w:tcBorders>
              <w:top w:val="single" w:sz="4" w:space="0" w:color="000000"/>
              <w:bottom w:val="single" w:sz="4" w:space="0" w:color="000000"/>
            </w:tcBorders>
            <w:shd w:val="clear" w:color="000000" w:fill="FFFFFF"/>
            <w:vAlign w:val="bottom"/>
          </w:tcPr>
          <w:p w14:paraId="0FE39DC8" w14:textId="514A23C3" w:rsidR="00C15D91" w:rsidRPr="00BB318A" w:rsidRDefault="00C15D91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75.000,00</w:t>
            </w:r>
          </w:p>
        </w:tc>
        <w:tc>
          <w:tcPr>
            <w:tcW w:w="606" w:type="pct"/>
            <w:tcBorders>
              <w:top w:val="single" w:sz="4" w:space="0" w:color="000000"/>
              <w:bottom w:val="single" w:sz="4" w:space="0" w:color="000000"/>
            </w:tcBorders>
            <w:shd w:val="clear" w:color="000000" w:fill="FFFFFF"/>
            <w:vAlign w:val="bottom"/>
          </w:tcPr>
          <w:p w14:paraId="2A28CE76" w14:textId="244ABEE4" w:rsidR="00C15D91" w:rsidRPr="00BB318A" w:rsidRDefault="00C15D91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90.000,00</w:t>
            </w:r>
          </w:p>
        </w:tc>
        <w:tc>
          <w:tcPr>
            <w:tcW w:w="439" w:type="pct"/>
            <w:tcBorders>
              <w:top w:val="single" w:sz="4" w:space="0" w:color="000000"/>
              <w:bottom w:val="single" w:sz="4" w:space="0" w:color="000000"/>
            </w:tcBorders>
            <w:shd w:val="clear" w:color="000000" w:fill="FFFFFF"/>
            <w:vAlign w:val="bottom"/>
          </w:tcPr>
          <w:p w14:paraId="7A853F4F" w14:textId="6289FC81" w:rsidR="00C15D91" w:rsidRPr="00BB318A" w:rsidRDefault="00C15D91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900,00%</w:t>
            </w:r>
          </w:p>
        </w:tc>
        <w:tc>
          <w:tcPr>
            <w:tcW w:w="45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4DAAD9D" w14:textId="62A8CC3C" w:rsidR="00C15D91" w:rsidRPr="00BB318A" w:rsidRDefault="00C15D91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120,00%</w:t>
            </w:r>
          </w:p>
        </w:tc>
      </w:tr>
      <w:tr w:rsidR="00C15D91" w:rsidRPr="00BB318A" w14:paraId="44072A4D" w14:textId="77777777" w:rsidTr="00C15D91">
        <w:trPr>
          <w:trHeight w:val="227"/>
        </w:trPr>
        <w:tc>
          <w:tcPr>
            <w:tcW w:w="128" w:type="pct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000000" w:fill="FFFFFF"/>
            <w:hideMark/>
          </w:tcPr>
          <w:p w14:paraId="1210180D" w14:textId="66E676F6" w:rsidR="00C15D91" w:rsidRPr="00BB318A" w:rsidRDefault="00C15D91" w:rsidP="00C15D9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</w:p>
        </w:tc>
        <w:tc>
          <w:tcPr>
            <w:tcW w:w="268" w:type="pct"/>
            <w:tcBorders>
              <w:top w:val="nil"/>
              <w:bottom w:val="single" w:sz="4" w:space="0" w:color="auto"/>
            </w:tcBorders>
            <w:shd w:val="clear" w:color="000000" w:fill="FFFFFF"/>
          </w:tcPr>
          <w:p w14:paraId="0F48030A" w14:textId="326EAEAF" w:rsidR="00C15D91" w:rsidRPr="000269E3" w:rsidRDefault="00C15D91" w:rsidP="00C15D9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B318A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84</w:t>
            </w:r>
          </w:p>
        </w:tc>
        <w:tc>
          <w:tcPr>
            <w:tcW w:w="1893" w:type="pct"/>
            <w:tcBorders>
              <w:top w:val="nil"/>
              <w:bottom w:val="single" w:sz="4" w:space="0" w:color="auto"/>
            </w:tcBorders>
            <w:shd w:val="clear" w:color="000000" w:fill="FFFFFF"/>
            <w:hideMark/>
          </w:tcPr>
          <w:p w14:paraId="0E775DC1" w14:textId="20D10F63" w:rsidR="00C15D91" w:rsidRPr="00BB318A" w:rsidRDefault="00C15D91" w:rsidP="00C15D91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B318A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Primici od zaduživanja</w:t>
            </w:r>
          </w:p>
        </w:tc>
        <w:tc>
          <w:tcPr>
            <w:tcW w:w="605" w:type="pct"/>
            <w:tcBorders>
              <w:top w:val="single" w:sz="4" w:space="0" w:color="000000"/>
              <w:bottom w:val="single" w:sz="4" w:space="0" w:color="000000"/>
            </w:tcBorders>
            <w:shd w:val="clear" w:color="000000" w:fill="FFFFFF"/>
            <w:vAlign w:val="bottom"/>
          </w:tcPr>
          <w:p w14:paraId="14545CFA" w14:textId="1EFE8D97" w:rsidR="00C15D91" w:rsidRPr="00C15D91" w:rsidRDefault="00C15D91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C15D91">
              <w:rPr>
                <w:rFonts w:ascii="Calibri" w:hAnsi="Calibri" w:cs="Calibri"/>
                <w:bCs/>
                <w:color w:val="000000"/>
              </w:rPr>
              <w:t>10.000,00</w:t>
            </w:r>
          </w:p>
        </w:tc>
        <w:tc>
          <w:tcPr>
            <w:tcW w:w="604" w:type="pct"/>
            <w:tcBorders>
              <w:top w:val="single" w:sz="4" w:space="0" w:color="000000"/>
              <w:bottom w:val="single" w:sz="4" w:space="0" w:color="000000"/>
            </w:tcBorders>
            <w:shd w:val="clear" w:color="000000" w:fill="FFFFFF"/>
            <w:vAlign w:val="bottom"/>
          </w:tcPr>
          <w:p w14:paraId="037FAE94" w14:textId="268A95A6" w:rsidR="00C15D91" w:rsidRPr="00C15D91" w:rsidRDefault="00C15D91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C15D91">
              <w:rPr>
                <w:rFonts w:ascii="Calibri" w:hAnsi="Calibri" w:cs="Calibri"/>
                <w:bCs/>
                <w:color w:val="000000"/>
              </w:rPr>
              <w:t>75.000,00</w:t>
            </w:r>
          </w:p>
        </w:tc>
        <w:tc>
          <w:tcPr>
            <w:tcW w:w="606" w:type="pct"/>
            <w:tcBorders>
              <w:top w:val="single" w:sz="4" w:space="0" w:color="000000"/>
              <w:bottom w:val="single" w:sz="4" w:space="0" w:color="000000"/>
            </w:tcBorders>
            <w:shd w:val="clear" w:color="000000" w:fill="FFFFFF"/>
            <w:vAlign w:val="bottom"/>
          </w:tcPr>
          <w:p w14:paraId="54590961" w14:textId="2D9BD932" w:rsidR="00C15D91" w:rsidRPr="00C15D91" w:rsidRDefault="00C15D91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C15D91">
              <w:rPr>
                <w:rFonts w:ascii="Calibri" w:hAnsi="Calibri" w:cs="Calibri"/>
                <w:bCs/>
                <w:color w:val="000000"/>
              </w:rPr>
              <w:t>90.000,00</w:t>
            </w:r>
          </w:p>
        </w:tc>
        <w:tc>
          <w:tcPr>
            <w:tcW w:w="439" w:type="pct"/>
            <w:tcBorders>
              <w:top w:val="single" w:sz="4" w:space="0" w:color="000000"/>
              <w:bottom w:val="single" w:sz="4" w:space="0" w:color="000000"/>
            </w:tcBorders>
            <w:shd w:val="clear" w:color="000000" w:fill="FFFFFF"/>
            <w:vAlign w:val="bottom"/>
          </w:tcPr>
          <w:p w14:paraId="76C9AF1E" w14:textId="4EE82F7A" w:rsidR="00C15D91" w:rsidRPr="00C15D91" w:rsidRDefault="00C15D91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C15D91">
              <w:rPr>
                <w:rFonts w:ascii="Calibri" w:hAnsi="Calibri" w:cs="Calibri"/>
                <w:bCs/>
                <w:color w:val="000000"/>
              </w:rPr>
              <w:t>900,00%</w:t>
            </w:r>
          </w:p>
        </w:tc>
        <w:tc>
          <w:tcPr>
            <w:tcW w:w="457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2500CC8" w14:textId="3C722CC5" w:rsidR="00C15D91" w:rsidRPr="00C15D91" w:rsidRDefault="00C15D91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C15D91">
              <w:rPr>
                <w:rFonts w:ascii="Calibri" w:hAnsi="Calibri" w:cs="Calibri"/>
                <w:bCs/>
                <w:color w:val="000000"/>
              </w:rPr>
              <w:t>120,00%</w:t>
            </w:r>
          </w:p>
        </w:tc>
      </w:tr>
      <w:tr w:rsidR="00C15D91" w:rsidRPr="00BB318A" w14:paraId="50F25B21" w14:textId="77777777" w:rsidTr="001617F4">
        <w:trPr>
          <w:trHeight w:val="227"/>
        </w:trPr>
        <w:tc>
          <w:tcPr>
            <w:tcW w:w="228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7E6E6" w:themeFill="background2"/>
          </w:tcPr>
          <w:p w14:paraId="61EE970D" w14:textId="58A94157" w:rsidR="00C15D91" w:rsidRPr="00BB318A" w:rsidRDefault="00C15D91" w:rsidP="00C15D91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B318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UKUPNO ( 6 + 7 + 8 )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</w:tcPr>
          <w:p w14:paraId="1925A7B7" w14:textId="471C366B" w:rsidR="00C15D91" w:rsidRPr="00BB318A" w:rsidRDefault="00C15D91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404.815,14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</w:tcPr>
          <w:p w14:paraId="549FD0BA" w14:textId="20607B3E" w:rsidR="00C15D91" w:rsidRPr="00BB318A" w:rsidRDefault="00C15D91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2.547.000,00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</w:tcPr>
          <w:p w14:paraId="121740B9" w14:textId="3064C13B" w:rsidR="00C15D91" w:rsidRPr="00BB318A" w:rsidRDefault="00C15D91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399.103,06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vAlign w:val="bottom"/>
          </w:tcPr>
          <w:p w14:paraId="211AA1D2" w14:textId="2455C7C2" w:rsidR="00C15D91" w:rsidRPr="00BB318A" w:rsidRDefault="00C15D91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98,59%</w:t>
            </w:r>
          </w:p>
        </w:tc>
        <w:tc>
          <w:tcPr>
            <w:tcW w:w="45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vAlign w:val="bottom"/>
          </w:tcPr>
          <w:p w14:paraId="15BEBA00" w14:textId="09DD105B" w:rsidR="00C15D91" w:rsidRPr="00BB318A" w:rsidRDefault="00C15D91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252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15,67%</w:t>
            </w:r>
          </w:p>
        </w:tc>
      </w:tr>
    </w:tbl>
    <w:p w14:paraId="00E19A1A" w14:textId="2A1C4317" w:rsidR="00A636A7" w:rsidRDefault="006A7047" w:rsidP="00E671D0">
      <w:pPr>
        <w:spacing w:before="120" w:after="120" w:line="240" w:lineRule="auto"/>
        <w:jc w:val="both"/>
        <w:rPr>
          <w:rFonts w:cstheme="minorHAnsi"/>
          <w:sz w:val="22"/>
          <w:szCs w:val="22"/>
        </w:rPr>
      </w:pPr>
      <w:r w:rsidRPr="006A7047">
        <w:rPr>
          <w:rFonts w:cstheme="minorHAnsi"/>
          <w:sz w:val="22"/>
          <w:szCs w:val="22"/>
        </w:rPr>
        <w:t xml:space="preserve">U odnosu na </w:t>
      </w:r>
      <w:r w:rsidR="00DB2E03">
        <w:rPr>
          <w:rFonts w:cstheme="minorHAnsi"/>
          <w:sz w:val="22"/>
          <w:szCs w:val="22"/>
        </w:rPr>
        <w:t xml:space="preserve">isto razdoblje </w:t>
      </w:r>
      <w:r w:rsidRPr="006A7047">
        <w:rPr>
          <w:rFonts w:cstheme="minorHAnsi"/>
          <w:sz w:val="22"/>
          <w:szCs w:val="22"/>
        </w:rPr>
        <w:t>prethodn</w:t>
      </w:r>
      <w:r w:rsidR="00DB2E03">
        <w:rPr>
          <w:rFonts w:cstheme="minorHAnsi"/>
          <w:sz w:val="22"/>
          <w:szCs w:val="22"/>
        </w:rPr>
        <w:t>e</w:t>
      </w:r>
      <w:r w:rsidRPr="006A7047">
        <w:rPr>
          <w:rFonts w:cstheme="minorHAnsi"/>
          <w:sz w:val="22"/>
          <w:szCs w:val="22"/>
        </w:rPr>
        <w:t xml:space="preserve"> godin</w:t>
      </w:r>
      <w:r w:rsidR="00DB2E03">
        <w:rPr>
          <w:rFonts w:cstheme="minorHAnsi"/>
          <w:sz w:val="22"/>
          <w:szCs w:val="22"/>
        </w:rPr>
        <w:t>e</w:t>
      </w:r>
      <w:r w:rsidRPr="006A7047">
        <w:rPr>
          <w:rFonts w:cstheme="minorHAnsi"/>
          <w:sz w:val="22"/>
          <w:szCs w:val="22"/>
        </w:rPr>
        <w:t xml:space="preserve">, ostvareni prihodi i primici su </w:t>
      </w:r>
      <w:r w:rsidR="000C0CBA">
        <w:rPr>
          <w:rFonts w:cstheme="minorHAnsi"/>
          <w:sz w:val="22"/>
          <w:szCs w:val="22"/>
        </w:rPr>
        <w:t>manji</w:t>
      </w:r>
      <w:r w:rsidRPr="006A7047">
        <w:rPr>
          <w:rFonts w:cstheme="minorHAnsi"/>
          <w:sz w:val="22"/>
          <w:szCs w:val="22"/>
        </w:rPr>
        <w:t xml:space="preserve"> za </w:t>
      </w:r>
      <w:r w:rsidR="000C0CBA" w:rsidRPr="000C0CBA">
        <w:rPr>
          <w:rFonts w:cstheme="minorHAnsi"/>
          <w:sz w:val="22"/>
          <w:szCs w:val="22"/>
        </w:rPr>
        <w:t>5.712,08</w:t>
      </w:r>
      <w:r w:rsidR="00DB2E03">
        <w:rPr>
          <w:rFonts w:cstheme="minorHAnsi"/>
          <w:sz w:val="22"/>
          <w:szCs w:val="22"/>
        </w:rPr>
        <w:t xml:space="preserve"> eura</w:t>
      </w:r>
      <w:r w:rsidR="00E671D0">
        <w:rPr>
          <w:rFonts w:cstheme="minorHAnsi"/>
          <w:sz w:val="22"/>
          <w:szCs w:val="22"/>
        </w:rPr>
        <w:t xml:space="preserve"> </w:t>
      </w:r>
      <w:r w:rsidRPr="006A7047">
        <w:rPr>
          <w:rFonts w:cstheme="minorHAnsi"/>
          <w:sz w:val="22"/>
          <w:szCs w:val="22"/>
        </w:rPr>
        <w:t xml:space="preserve">ili za </w:t>
      </w:r>
      <w:r w:rsidR="000C0CBA">
        <w:rPr>
          <w:rFonts w:cstheme="minorHAnsi"/>
          <w:sz w:val="22"/>
          <w:szCs w:val="22"/>
        </w:rPr>
        <w:t>1,41</w:t>
      </w:r>
      <w:r w:rsidR="00DB2E03">
        <w:rPr>
          <w:rFonts w:cstheme="minorHAnsi"/>
          <w:sz w:val="22"/>
          <w:szCs w:val="22"/>
        </w:rPr>
        <w:t xml:space="preserve">%. </w:t>
      </w:r>
      <w:r w:rsidR="000269E3">
        <w:rPr>
          <w:rFonts w:cstheme="minorHAnsi"/>
          <w:sz w:val="22"/>
          <w:szCs w:val="22"/>
        </w:rPr>
        <w:t xml:space="preserve">Prihodi od </w:t>
      </w:r>
      <w:r w:rsidR="000C0CBA">
        <w:rPr>
          <w:rFonts w:cstheme="minorHAnsi"/>
          <w:sz w:val="22"/>
          <w:szCs w:val="22"/>
        </w:rPr>
        <w:t>poreza i primici od zaduživanja</w:t>
      </w:r>
      <w:r w:rsidR="00DB2E03">
        <w:rPr>
          <w:rFonts w:cstheme="minorHAnsi"/>
          <w:sz w:val="22"/>
          <w:szCs w:val="22"/>
        </w:rPr>
        <w:t xml:space="preserve"> bilježe rast, dok </w:t>
      </w:r>
      <w:r w:rsidR="00FD6AC6">
        <w:rPr>
          <w:rFonts w:cstheme="minorHAnsi"/>
          <w:sz w:val="22"/>
          <w:szCs w:val="22"/>
        </w:rPr>
        <w:t xml:space="preserve">su </w:t>
      </w:r>
      <w:r w:rsidR="00DB2E03">
        <w:rPr>
          <w:rFonts w:cstheme="minorHAnsi"/>
          <w:sz w:val="22"/>
          <w:szCs w:val="22"/>
        </w:rPr>
        <w:t>svi ostali prihodi</w:t>
      </w:r>
      <w:r w:rsidR="00FD6AC6">
        <w:rPr>
          <w:rFonts w:cstheme="minorHAnsi"/>
          <w:sz w:val="22"/>
          <w:szCs w:val="22"/>
        </w:rPr>
        <w:t xml:space="preserve"> ostvareni u manjem iznosu u odnosu na isto razdoblje prethodne godine. </w:t>
      </w:r>
    </w:p>
    <w:p w14:paraId="7E1130A6" w14:textId="77777777" w:rsidR="00FA7A1D" w:rsidRPr="00000576" w:rsidRDefault="00FA7A1D" w:rsidP="00000576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</w:p>
    <w:p w14:paraId="7484548D" w14:textId="7C37ABF9" w:rsidR="00D13E13" w:rsidRPr="00F00684" w:rsidRDefault="00F00684" w:rsidP="00165728">
      <w:pPr>
        <w:pStyle w:val="Naslov3"/>
        <w:numPr>
          <w:ilvl w:val="2"/>
          <w:numId w:val="4"/>
        </w:numPr>
        <w:spacing w:before="0" w:after="120"/>
        <w:ind w:left="504"/>
        <w:rPr>
          <w:b/>
          <w:sz w:val="22"/>
        </w:rPr>
      </w:pPr>
      <w:bookmarkStart w:id="9" w:name="_Toc209436493"/>
      <w:r w:rsidRPr="00F00684">
        <w:rPr>
          <w:b/>
          <w:caps w:val="0"/>
          <w:sz w:val="22"/>
        </w:rPr>
        <w:t>Prihodi od poreza</w:t>
      </w:r>
      <w:bookmarkEnd w:id="9"/>
    </w:p>
    <w:p w14:paraId="13AC95FE" w14:textId="28492CFD" w:rsidR="00F92018" w:rsidRPr="000F0E7D" w:rsidRDefault="003E3931" w:rsidP="00000576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0F0E7D">
        <w:rPr>
          <w:rFonts w:cstheme="minorHAnsi"/>
          <w:sz w:val="22"/>
          <w:szCs w:val="22"/>
        </w:rPr>
        <w:t xml:space="preserve">Prihodi od poreza realizirani su u iznosu od </w:t>
      </w:r>
      <w:r w:rsidR="00F97CC2" w:rsidRPr="00F97CC2">
        <w:rPr>
          <w:rFonts w:cstheme="minorHAnsi"/>
          <w:sz w:val="22"/>
          <w:szCs w:val="22"/>
        </w:rPr>
        <w:t>83.242,94</w:t>
      </w:r>
      <w:r w:rsidR="000F0E7D">
        <w:rPr>
          <w:rFonts w:cstheme="minorHAnsi"/>
          <w:sz w:val="22"/>
          <w:szCs w:val="22"/>
        </w:rPr>
        <w:t xml:space="preserve"> eura</w:t>
      </w:r>
      <w:r w:rsidRPr="000F0E7D">
        <w:rPr>
          <w:rFonts w:cstheme="minorHAnsi"/>
          <w:sz w:val="22"/>
          <w:szCs w:val="22"/>
        </w:rPr>
        <w:t xml:space="preserve">, </w:t>
      </w:r>
      <w:r w:rsidR="00D13E13" w:rsidRPr="000F0E7D">
        <w:rPr>
          <w:rFonts w:cstheme="minorHAnsi"/>
          <w:sz w:val="22"/>
          <w:szCs w:val="22"/>
        </w:rPr>
        <w:t xml:space="preserve">dok su u </w:t>
      </w:r>
      <w:r w:rsidR="000F0E7D">
        <w:rPr>
          <w:rFonts w:cstheme="minorHAnsi"/>
          <w:sz w:val="22"/>
          <w:szCs w:val="22"/>
        </w:rPr>
        <w:t xml:space="preserve">istom razdoblju </w:t>
      </w:r>
      <w:r w:rsidR="00D13E13" w:rsidRPr="000F0E7D">
        <w:rPr>
          <w:rFonts w:cstheme="minorHAnsi"/>
          <w:sz w:val="22"/>
          <w:szCs w:val="22"/>
        </w:rPr>
        <w:t>20</w:t>
      </w:r>
      <w:r w:rsidR="00AE4296" w:rsidRPr="000F0E7D">
        <w:rPr>
          <w:rFonts w:cstheme="minorHAnsi"/>
          <w:sz w:val="22"/>
          <w:szCs w:val="22"/>
        </w:rPr>
        <w:t>2</w:t>
      </w:r>
      <w:r w:rsidR="00F97CC2">
        <w:rPr>
          <w:rFonts w:cstheme="minorHAnsi"/>
          <w:sz w:val="22"/>
          <w:szCs w:val="22"/>
        </w:rPr>
        <w:t>4</w:t>
      </w:r>
      <w:r w:rsidR="00D13E13" w:rsidRPr="000F0E7D">
        <w:rPr>
          <w:rFonts w:cstheme="minorHAnsi"/>
          <w:sz w:val="22"/>
          <w:szCs w:val="22"/>
        </w:rPr>
        <w:t>. godin</w:t>
      </w:r>
      <w:r w:rsidR="000F0E7D">
        <w:rPr>
          <w:rFonts w:cstheme="minorHAnsi"/>
          <w:sz w:val="22"/>
          <w:szCs w:val="22"/>
        </w:rPr>
        <w:t>e</w:t>
      </w:r>
      <w:r w:rsidR="00D13E13" w:rsidRPr="000F0E7D">
        <w:rPr>
          <w:rFonts w:cstheme="minorHAnsi"/>
          <w:sz w:val="22"/>
          <w:szCs w:val="22"/>
        </w:rPr>
        <w:t xml:space="preserve"> iznosili </w:t>
      </w:r>
      <w:r w:rsidR="00F97CC2" w:rsidRPr="00F97CC2">
        <w:rPr>
          <w:rFonts w:cstheme="minorHAnsi"/>
          <w:sz w:val="22"/>
          <w:szCs w:val="22"/>
        </w:rPr>
        <w:t>40.101,92</w:t>
      </w:r>
      <w:r w:rsidR="000F0E7D">
        <w:rPr>
          <w:rFonts w:cstheme="minorHAnsi"/>
          <w:sz w:val="22"/>
          <w:szCs w:val="22"/>
        </w:rPr>
        <w:t xml:space="preserve"> eura</w:t>
      </w:r>
      <w:r w:rsidR="00D13E13" w:rsidRPr="000F0E7D">
        <w:rPr>
          <w:rFonts w:cstheme="minorHAnsi"/>
          <w:sz w:val="22"/>
          <w:szCs w:val="22"/>
        </w:rPr>
        <w:t xml:space="preserve">, što predstavlja </w:t>
      </w:r>
      <w:r w:rsidR="00F97CC2">
        <w:rPr>
          <w:rFonts w:cstheme="minorHAnsi"/>
          <w:sz w:val="22"/>
          <w:szCs w:val="22"/>
        </w:rPr>
        <w:t xml:space="preserve">povećanje </w:t>
      </w:r>
      <w:r w:rsidR="00D13E13" w:rsidRPr="000F0E7D">
        <w:rPr>
          <w:rFonts w:cstheme="minorHAnsi"/>
          <w:sz w:val="22"/>
          <w:szCs w:val="22"/>
        </w:rPr>
        <w:t xml:space="preserve">za </w:t>
      </w:r>
      <w:r w:rsidR="00F97CC2">
        <w:rPr>
          <w:rFonts w:cstheme="minorHAnsi"/>
          <w:sz w:val="22"/>
          <w:szCs w:val="22"/>
        </w:rPr>
        <w:t>107,58</w:t>
      </w:r>
      <w:r w:rsidR="00D13E13" w:rsidRPr="000F0E7D">
        <w:rPr>
          <w:rFonts w:cstheme="minorHAnsi"/>
          <w:sz w:val="22"/>
          <w:szCs w:val="22"/>
        </w:rPr>
        <w:t xml:space="preserve">%. </w:t>
      </w:r>
    </w:p>
    <w:p w14:paraId="59D28C16" w14:textId="54C21AD7" w:rsidR="00327ABF" w:rsidRPr="000F0E7D" w:rsidRDefault="00327ABF" w:rsidP="00327ABF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0F0E7D">
        <w:rPr>
          <w:rFonts w:cstheme="minorHAnsi"/>
          <w:sz w:val="22"/>
          <w:szCs w:val="22"/>
        </w:rPr>
        <w:t>U odnosu na Plan za 202</w:t>
      </w:r>
      <w:r w:rsidR="00F97CC2">
        <w:rPr>
          <w:rFonts w:cstheme="minorHAnsi"/>
          <w:sz w:val="22"/>
          <w:szCs w:val="22"/>
        </w:rPr>
        <w:t>5</w:t>
      </w:r>
      <w:r w:rsidRPr="000F0E7D">
        <w:rPr>
          <w:rFonts w:cstheme="minorHAnsi"/>
          <w:sz w:val="22"/>
          <w:szCs w:val="22"/>
        </w:rPr>
        <w:t xml:space="preserve">. godinu, ostvareno je </w:t>
      </w:r>
      <w:r w:rsidR="00F97CC2">
        <w:rPr>
          <w:rFonts w:cstheme="minorHAnsi"/>
          <w:sz w:val="22"/>
          <w:szCs w:val="22"/>
        </w:rPr>
        <w:t>51,07</w:t>
      </w:r>
      <w:r w:rsidRPr="000F0E7D">
        <w:rPr>
          <w:rFonts w:cstheme="minorHAnsi"/>
          <w:sz w:val="22"/>
          <w:szCs w:val="22"/>
        </w:rPr>
        <w:t>% planiranog prihoda od poreza.</w:t>
      </w:r>
    </w:p>
    <w:p w14:paraId="7A650B11" w14:textId="6589CEC4" w:rsidR="00327ABF" w:rsidRDefault="00D42515" w:rsidP="00327ABF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Najveći utjecaj na </w:t>
      </w:r>
      <w:r w:rsidR="00F97CC2">
        <w:rPr>
          <w:rFonts w:cstheme="minorHAnsi"/>
          <w:sz w:val="22"/>
          <w:szCs w:val="22"/>
        </w:rPr>
        <w:t>veće</w:t>
      </w:r>
      <w:r w:rsidR="00327ABF" w:rsidRPr="000F0E7D">
        <w:rPr>
          <w:rFonts w:cstheme="minorHAnsi"/>
          <w:sz w:val="22"/>
          <w:szCs w:val="22"/>
        </w:rPr>
        <w:t xml:space="preserve"> ostvarenje poreznih prihoda u </w:t>
      </w:r>
      <w:r>
        <w:rPr>
          <w:rFonts w:cstheme="minorHAnsi"/>
          <w:sz w:val="22"/>
          <w:szCs w:val="22"/>
        </w:rPr>
        <w:t>promatranom razdoblju</w:t>
      </w:r>
      <w:r w:rsidR="00327ABF" w:rsidRPr="000F0E7D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imala je</w:t>
      </w:r>
      <w:r w:rsidR="00247220">
        <w:rPr>
          <w:rFonts w:cstheme="minorHAnsi"/>
          <w:sz w:val="22"/>
          <w:szCs w:val="22"/>
        </w:rPr>
        <w:t xml:space="preserve"> drugačij</w:t>
      </w:r>
      <w:r>
        <w:rPr>
          <w:rFonts w:cstheme="minorHAnsi"/>
          <w:sz w:val="22"/>
          <w:szCs w:val="22"/>
        </w:rPr>
        <w:t>a</w:t>
      </w:r>
      <w:r w:rsidR="00247220">
        <w:rPr>
          <w:rFonts w:cstheme="minorHAnsi"/>
          <w:sz w:val="22"/>
          <w:szCs w:val="22"/>
        </w:rPr>
        <w:t xml:space="preserve"> dinamik</w:t>
      </w:r>
      <w:r>
        <w:rPr>
          <w:rFonts w:cstheme="minorHAnsi"/>
          <w:sz w:val="22"/>
          <w:szCs w:val="22"/>
        </w:rPr>
        <w:t>a</w:t>
      </w:r>
      <w:r w:rsidR="00247220">
        <w:rPr>
          <w:rFonts w:cstheme="minorHAnsi"/>
          <w:sz w:val="22"/>
          <w:szCs w:val="22"/>
        </w:rPr>
        <w:t xml:space="preserve"> povrata poreza na dohodak u odnosu na prethodne godine, </w:t>
      </w:r>
      <w:r w:rsidR="00F97CC2">
        <w:rPr>
          <w:rFonts w:cstheme="minorHAnsi"/>
          <w:sz w:val="22"/>
          <w:szCs w:val="22"/>
        </w:rPr>
        <w:t>kao i kontinuirani rast zaposlenosti i plaća</w:t>
      </w:r>
      <w:r w:rsidR="00E530A7">
        <w:rPr>
          <w:rFonts w:cstheme="minorHAnsi"/>
          <w:sz w:val="22"/>
          <w:szCs w:val="22"/>
        </w:rPr>
        <w:t>.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5"/>
        <w:gridCol w:w="4705"/>
        <w:gridCol w:w="1096"/>
        <w:gridCol w:w="1096"/>
        <w:gridCol w:w="1096"/>
        <w:gridCol w:w="979"/>
        <w:gridCol w:w="949"/>
      </w:tblGrid>
      <w:tr w:rsidR="000C0CBA" w:rsidRPr="000C0CBA" w14:paraId="59C73463" w14:textId="77777777" w:rsidTr="00F97CC2">
        <w:trPr>
          <w:trHeight w:val="227"/>
        </w:trPr>
        <w:tc>
          <w:tcPr>
            <w:tcW w:w="2506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A079E55" w14:textId="77777777" w:rsidR="000C0CBA" w:rsidRPr="000C0CBA" w:rsidRDefault="000C0CBA" w:rsidP="000C0CB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CBA">
              <w:rPr>
                <w:rFonts w:ascii="Calibri" w:eastAsia="Times New Roman" w:hAnsi="Calibri" w:cs="Calibri"/>
                <w:color w:val="000000"/>
                <w:lang w:eastAsia="hr-HR"/>
              </w:rPr>
              <w:t>Brojčana oznaka i naziv računa</w:t>
            </w:r>
          </w:p>
        </w:tc>
        <w:tc>
          <w:tcPr>
            <w:tcW w:w="52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01AA958A" w14:textId="77777777" w:rsidR="00F97CC2" w:rsidRDefault="000C0CBA" w:rsidP="000C0CB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CB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Izvršenje </w:t>
            </w:r>
          </w:p>
          <w:p w14:paraId="3151F3E1" w14:textId="678F5B33" w:rsidR="000C0CBA" w:rsidRPr="000C0CBA" w:rsidRDefault="000C0CBA" w:rsidP="000C0CB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CBA">
              <w:rPr>
                <w:rFonts w:ascii="Calibri" w:eastAsia="Times New Roman" w:hAnsi="Calibri" w:cs="Calibri"/>
                <w:color w:val="000000"/>
                <w:lang w:eastAsia="hr-HR"/>
              </w:rPr>
              <w:t>I-VI 2024.</w:t>
            </w:r>
          </w:p>
        </w:tc>
        <w:tc>
          <w:tcPr>
            <w:tcW w:w="52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3005BFC7" w14:textId="77777777" w:rsidR="000C0CBA" w:rsidRPr="000C0CBA" w:rsidRDefault="000C0CBA" w:rsidP="000C0CB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CBA">
              <w:rPr>
                <w:rFonts w:ascii="Calibri" w:eastAsia="Times New Roman" w:hAnsi="Calibri" w:cs="Calibri"/>
                <w:color w:val="000000"/>
                <w:lang w:eastAsia="hr-HR"/>
              </w:rPr>
              <w:t>Proračun 2025</w:t>
            </w:r>
          </w:p>
        </w:tc>
        <w:tc>
          <w:tcPr>
            <w:tcW w:w="52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523907C3" w14:textId="77777777" w:rsidR="00F97CC2" w:rsidRDefault="000C0CBA" w:rsidP="000C0CB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CB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Izvršenje </w:t>
            </w:r>
          </w:p>
          <w:p w14:paraId="679B023E" w14:textId="083772BA" w:rsidR="000C0CBA" w:rsidRPr="000C0CBA" w:rsidRDefault="000C0CBA" w:rsidP="000C0CB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CBA">
              <w:rPr>
                <w:rFonts w:ascii="Calibri" w:eastAsia="Times New Roman" w:hAnsi="Calibri" w:cs="Calibri"/>
                <w:color w:val="000000"/>
                <w:lang w:eastAsia="hr-HR"/>
              </w:rPr>
              <w:t>I-VI 2025.</w:t>
            </w:r>
          </w:p>
        </w:tc>
        <w:tc>
          <w:tcPr>
            <w:tcW w:w="468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40B1F345" w14:textId="77777777" w:rsidR="000C0CBA" w:rsidRPr="000C0CBA" w:rsidRDefault="000C0CBA" w:rsidP="000C0CB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CBA">
              <w:rPr>
                <w:rFonts w:ascii="Calibri" w:eastAsia="Times New Roman" w:hAnsi="Calibri" w:cs="Calibri"/>
                <w:color w:val="000000"/>
                <w:lang w:eastAsia="hr-HR"/>
              </w:rPr>
              <w:t>Indeks (4/2*100)</w:t>
            </w:r>
          </w:p>
        </w:tc>
        <w:tc>
          <w:tcPr>
            <w:tcW w:w="454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05CE6361" w14:textId="77777777" w:rsidR="000C0CBA" w:rsidRPr="000C0CBA" w:rsidRDefault="000C0CBA" w:rsidP="000C0CB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CBA">
              <w:rPr>
                <w:rFonts w:ascii="Calibri" w:eastAsia="Times New Roman" w:hAnsi="Calibri" w:cs="Calibri"/>
                <w:color w:val="000000"/>
                <w:lang w:eastAsia="hr-HR"/>
              </w:rPr>
              <w:t>Indeks (4/3*100)</w:t>
            </w:r>
          </w:p>
        </w:tc>
      </w:tr>
      <w:tr w:rsidR="000C0CBA" w:rsidRPr="000C0CBA" w14:paraId="01964902" w14:textId="77777777" w:rsidTr="00F97CC2">
        <w:trPr>
          <w:trHeight w:val="227"/>
        </w:trPr>
        <w:tc>
          <w:tcPr>
            <w:tcW w:w="250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7E6E6"/>
            <w:noWrap/>
            <w:vAlign w:val="center"/>
            <w:hideMark/>
          </w:tcPr>
          <w:p w14:paraId="4A31A3FD" w14:textId="77777777" w:rsidR="000C0CBA" w:rsidRPr="000C0CBA" w:rsidRDefault="000C0CBA" w:rsidP="000C0CB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CBA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vAlign w:val="center"/>
            <w:hideMark/>
          </w:tcPr>
          <w:p w14:paraId="6D6CFB92" w14:textId="77777777" w:rsidR="000C0CBA" w:rsidRPr="000C0CBA" w:rsidRDefault="000C0CBA" w:rsidP="000C0CB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CBA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vAlign w:val="center"/>
            <w:hideMark/>
          </w:tcPr>
          <w:p w14:paraId="08FC0801" w14:textId="77777777" w:rsidR="000C0CBA" w:rsidRPr="000C0CBA" w:rsidRDefault="000C0CBA" w:rsidP="000C0CB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CBA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vAlign w:val="center"/>
            <w:hideMark/>
          </w:tcPr>
          <w:p w14:paraId="47CBBA7F" w14:textId="77777777" w:rsidR="000C0CBA" w:rsidRPr="000C0CBA" w:rsidRDefault="000C0CBA" w:rsidP="000C0CB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CBA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vAlign w:val="center"/>
            <w:hideMark/>
          </w:tcPr>
          <w:p w14:paraId="6DBE7373" w14:textId="77777777" w:rsidR="000C0CBA" w:rsidRPr="000C0CBA" w:rsidRDefault="000C0CBA" w:rsidP="000C0CB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CBA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3E5FF066" w14:textId="77777777" w:rsidR="000C0CBA" w:rsidRPr="000C0CBA" w:rsidRDefault="000C0CBA" w:rsidP="000C0CB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CBA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</w:tr>
      <w:tr w:rsidR="00F97CC2" w:rsidRPr="000C0CBA" w14:paraId="162723A2" w14:textId="77777777" w:rsidTr="00F97CC2">
        <w:trPr>
          <w:trHeight w:val="227"/>
        </w:trPr>
        <w:tc>
          <w:tcPr>
            <w:tcW w:w="2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D7B7DEE" w14:textId="77777777" w:rsidR="000C0CBA" w:rsidRPr="000C0CBA" w:rsidRDefault="000C0CBA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C0CB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61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59B1A1D" w14:textId="77777777" w:rsidR="000C0CBA" w:rsidRPr="000C0CBA" w:rsidRDefault="000C0CBA" w:rsidP="000C0CBA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C0CB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Prihodi od poreza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A4572EC" w14:textId="77777777" w:rsidR="000C0CBA" w:rsidRPr="000C0CBA" w:rsidRDefault="000C0CBA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C0CB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40.101,92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5569DE7" w14:textId="77777777" w:rsidR="000C0CBA" w:rsidRPr="000C0CBA" w:rsidRDefault="000C0CBA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C0CB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163.000,00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6F47C6A" w14:textId="77777777" w:rsidR="000C0CBA" w:rsidRPr="000C0CBA" w:rsidRDefault="000C0CBA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bookmarkStart w:id="10" w:name="_Hlk207969879"/>
            <w:r w:rsidRPr="000C0CB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83.242,94</w:t>
            </w:r>
            <w:bookmarkEnd w:id="10"/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C55ABA7" w14:textId="77777777" w:rsidR="000C0CBA" w:rsidRPr="000C0CBA" w:rsidRDefault="000C0CBA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C0CB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207,58%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DA6E189" w14:textId="77777777" w:rsidR="000C0CBA" w:rsidRPr="000C0CBA" w:rsidRDefault="000C0CBA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C0CB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51,07%</w:t>
            </w:r>
          </w:p>
        </w:tc>
      </w:tr>
      <w:tr w:rsidR="00F97CC2" w:rsidRPr="000C0CBA" w14:paraId="354E12C0" w14:textId="77777777" w:rsidTr="00F97CC2">
        <w:trPr>
          <w:trHeight w:val="227"/>
        </w:trPr>
        <w:tc>
          <w:tcPr>
            <w:tcW w:w="2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68EAFAD" w14:textId="77777777" w:rsidR="000C0CBA" w:rsidRPr="000C0CBA" w:rsidRDefault="000C0CBA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CBA">
              <w:rPr>
                <w:rFonts w:ascii="Calibri" w:eastAsia="Times New Roman" w:hAnsi="Calibri" w:cs="Calibri"/>
                <w:color w:val="000000"/>
                <w:lang w:eastAsia="hr-HR"/>
              </w:rPr>
              <w:t>611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5AF67808" w14:textId="77777777" w:rsidR="000C0CBA" w:rsidRPr="000C0CBA" w:rsidRDefault="000C0CBA" w:rsidP="000C0CB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CBA">
              <w:rPr>
                <w:rFonts w:ascii="Calibri" w:eastAsia="Times New Roman" w:hAnsi="Calibri" w:cs="Calibri"/>
                <w:color w:val="000000"/>
                <w:lang w:eastAsia="hr-HR"/>
              </w:rPr>
              <w:t>Porez na dohodak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C67B23C" w14:textId="77777777" w:rsidR="000C0CBA" w:rsidRPr="000C0CBA" w:rsidRDefault="000C0CBA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CBA">
              <w:rPr>
                <w:rFonts w:ascii="Calibri" w:eastAsia="Times New Roman" w:hAnsi="Calibri" w:cs="Calibri"/>
                <w:color w:val="000000"/>
                <w:lang w:eastAsia="hr-HR"/>
              </w:rPr>
              <w:t>36.608,26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12D6DC7" w14:textId="77777777" w:rsidR="000C0CBA" w:rsidRPr="000C0CBA" w:rsidRDefault="000C0CBA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CB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6D95E28" w14:textId="77777777" w:rsidR="000C0CBA" w:rsidRPr="000C0CBA" w:rsidRDefault="000C0CBA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CBA">
              <w:rPr>
                <w:rFonts w:ascii="Calibri" w:eastAsia="Times New Roman" w:hAnsi="Calibri" w:cs="Calibri"/>
                <w:color w:val="000000"/>
                <w:lang w:eastAsia="hr-HR"/>
              </w:rPr>
              <w:t>79.928,37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BFE0FE8" w14:textId="77777777" w:rsidR="000C0CBA" w:rsidRPr="000C0CBA" w:rsidRDefault="000C0CBA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CBA">
              <w:rPr>
                <w:rFonts w:ascii="Calibri" w:eastAsia="Times New Roman" w:hAnsi="Calibri" w:cs="Calibri"/>
                <w:color w:val="000000"/>
                <w:lang w:eastAsia="hr-HR"/>
              </w:rPr>
              <w:t>218,33%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CB4F5FF" w14:textId="77777777" w:rsidR="000C0CBA" w:rsidRPr="000C0CBA" w:rsidRDefault="000C0CBA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CB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F97CC2" w:rsidRPr="000C0CBA" w14:paraId="4A77F4B7" w14:textId="77777777" w:rsidTr="00F97CC2">
        <w:trPr>
          <w:trHeight w:val="227"/>
        </w:trPr>
        <w:tc>
          <w:tcPr>
            <w:tcW w:w="2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F3224CC" w14:textId="77777777" w:rsidR="000C0CBA" w:rsidRPr="000C0CBA" w:rsidRDefault="000C0CBA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CBA">
              <w:rPr>
                <w:rFonts w:ascii="Calibri" w:eastAsia="Times New Roman" w:hAnsi="Calibri" w:cs="Calibri"/>
                <w:color w:val="000000"/>
                <w:lang w:eastAsia="hr-HR"/>
              </w:rPr>
              <w:t>6111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11BA5FCF" w14:textId="77777777" w:rsidR="000C0CBA" w:rsidRPr="000C0CBA" w:rsidRDefault="000C0CBA" w:rsidP="000C0CB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CBA">
              <w:rPr>
                <w:rFonts w:ascii="Calibri" w:eastAsia="Times New Roman" w:hAnsi="Calibri" w:cs="Calibri"/>
                <w:color w:val="000000"/>
                <w:lang w:eastAsia="hr-HR"/>
              </w:rPr>
              <w:t>Porez na dohodak od nesamostalnog rada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5FA366E" w14:textId="77777777" w:rsidR="000C0CBA" w:rsidRPr="000C0CBA" w:rsidRDefault="000C0CBA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CBA">
              <w:rPr>
                <w:rFonts w:ascii="Calibri" w:eastAsia="Times New Roman" w:hAnsi="Calibri" w:cs="Calibri"/>
                <w:color w:val="000000"/>
                <w:lang w:eastAsia="hr-HR"/>
              </w:rPr>
              <w:t>36.608,26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B06F692" w14:textId="77777777" w:rsidR="000C0CBA" w:rsidRPr="000C0CBA" w:rsidRDefault="000C0CBA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CB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52E2C5C" w14:textId="77777777" w:rsidR="000C0CBA" w:rsidRPr="000C0CBA" w:rsidRDefault="000C0CBA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CBA">
              <w:rPr>
                <w:rFonts w:ascii="Calibri" w:eastAsia="Times New Roman" w:hAnsi="Calibri" w:cs="Calibri"/>
                <w:color w:val="000000"/>
                <w:lang w:eastAsia="hr-HR"/>
              </w:rPr>
              <w:t>79.928,37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7689FC9" w14:textId="77777777" w:rsidR="000C0CBA" w:rsidRPr="000C0CBA" w:rsidRDefault="000C0CBA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CBA">
              <w:rPr>
                <w:rFonts w:ascii="Calibri" w:eastAsia="Times New Roman" w:hAnsi="Calibri" w:cs="Calibri"/>
                <w:color w:val="000000"/>
                <w:lang w:eastAsia="hr-HR"/>
              </w:rPr>
              <w:t>218,33%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3C6BE1C" w14:textId="77777777" w:rsidR="000C0CBA" w:rsidRPr="000C0CBA" w:rsidRDefault="000C0CBA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CB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F97CC2" w:rsidRPr="000C0CBA" w14:paraId="0DB52B2D" w14:textId="77777777" w:rsidTr="00F97CC2">
        <w:trPr>
          <w:trHeight w:val="227"/>
        </w:trPr>
        <w:tc>
          <w:tcPr>
            <w:tcW w:w="2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6F3E153" w14:textId="77777777" w:rsidR="000C0CBA" w:rsidRPr="000C0CBA" w:rsidRDefault="000C0CBA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CBA">
              <w:rPr>
                <w:rFonts w:ascii="Calibri" w:eastAsia="Times New Roman" w:hAnsi="Calibri" w:cs="Calibri"/>
                <w:color w:val="000000"/>
                <w:lang w:eastAsia="hr-HR"/>
              </w:rPr>
              <w:t>613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05182CFC" w14:textId="77777777" w:rsidR="000C0CBA" w:rsidRPr="000C0CBA" w:rsidRDefault="000C0CBA" w:rsidP="000C0CB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CBA">
              <w:rPr>
                <w:rFonts w:ascii="Calibri" w:eastAsia="Times New Roman" w:hAnsi="Calibri" w:cs="Calibri"/>
                <w:color w:val="000000"/>
                <w:lang w:eastAsia="hr-HR"/>
              </w:rPr>
              <w:t>Porezi na imovinu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B826E88" w14:textId="77777777" w:rsidR="000C0CBA" w:rsidRPr="000C0CBA" w:rsidRDefault="000C0CBA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CBA">
              <w:rPr>
                <w:rFonts w:ascii="Calibri" w:eastAsia="Times New Roman" w:hAnsi="Calibri" w:cs="Calibri"/>
                <w:color w:val="000000"/>
                <w:lang w:eastAsia="hr-HR"/>
              </w:rPr>
              <w:t>3.493,66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5D7069D" w14:textId="77777777" w:rsidR="000C0CBA" w:rsidRPr="000C0CBA" w:rsidRDefault="000C0CBA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CB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5257925" w14:textId="77777777" w:rsidR="000C0CBA" w:rsidRPr="000C0CBA" w:rsidRDefault="000C0CBA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CBA">
              <w:rPr>
                <w:rFonts w:ascii="Calibri" w:eastAsia="Times New Roman" w:hAnsi="Calibri" w:cs="Calibri"/>
                <w:color w:val="000000"/>
                <w:lang w:eastAsia="hr-HR"/>
              </w:rPr>
              <w:t>3.314,57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9A55E8D" w14:textId="77777777" w:rsidR="000C0CBA" w:rsidRPr="000C0CBA" w:rsidRDefault="000C0CBA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CBA">
              <w:rPr>
                <w:rFonts w:ascii="Calibri" w:eastAsia="Times New Roman" w:hAnsi="Calibri" w:cs="Calibri"/>
                <w:color w:val="000000"/>
                <w:lang w:eastAsia="hr-HR"/>
              </w:rPr>
              <w:t>94,87%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8292674" w14:textId="77777777" w:rsidR="000C0CBA" w:rsidRPr="000C0CBA" w:rsidRDefault="000C0CBA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CB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F97CC2" w:rsidRPr="000C0CBA" w14:paraId="59F75316" w14:textId="77777777" w:rsidTr="00F97CC2">
        <w:trPr>
          <w:trHeight w:val="227"/>
        </w:trPr>
        <w:tc>
          <w:tcPr>
            <w:tcW w:w="2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A461A90" w14:textId="77777777" w:rsidR="000C0CBA" w:rsidRPr="000C0CBA" w:rsidRDefault="000C0CBA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CBA">
              <w:rPr>
                <w:rFonts w:ascii="Calibri" w:eastAsia="Times New Roman" w:hAnsi="Calibri" w:cs="Calibri"/>
                <w:color w:val="000000"/>
                <w:lang w:eastAsia="hr-HR"/>
              </w:rPr>
              <w:t>6131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6E75EF82" w14:textId="77777777" w:rsidR="000C0CBA" w:rsidRPr="000C0CBA" w:rsidRDefault="000C0CBA" w:rsidP="000C0CB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CBA">
              <w:rPr>
                <w:rFonts w:ascii="Calibri" w:eastAsia="Times New Roman" w:hAnsi="Calibri" w:cs="Calibri"/>
                <w:color w:val="000000"/>
                <w:lang w:eastAsia="hr-HR"/>
              </w:rPr>
              <w:t>Stalni porezi na nepokretnu imovinu (zemlju, zgrade, kuće i ostalo)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D724F54" w14:textId="77777777" w:rsidR="000C0CBA" w:rsidRPr="000C0CBA" w:rsidRDefault="000C0CBA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CBA">
              <w:rPr>
                <w:rFonts w:ascii="Calibri" w:eastAsia="Times New Roman" w:hAnsi="Calibri" w:cs="Calibri"/>
                <w:color w:val="000000"/>
                <w:lang w:eastAsia="hr-HR"/>
              </w:rPr>
              <w:t>314,44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55A2227" w14:textId="77777777" w:rsidR="000C0CBA" w:rsidRPr="000C0CBA" w:rsidRDefault="000C0CBA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CB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DDD2DCD" w14:textId="77777777" w:rsidR="000C0CBA" w:rsidRPr="000C0CBA" w:rsidRDefault="000C0CBA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CBA">
              <w:rPr>
                <w:rFonts w:ascii="Calibri" w:eastAsia="Times New Roman" w:hAnsi="Calibri" w:cs="Calibri"/>
                <w:color w:val="000000"/>
                <w:lang w:eastAsia="hr-HR"/>
              </w:rPr>
              <w:t>130,43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932E013" w14:textId="77777777" w:rsidR="000C0CBA" w:rsidRPr="000C0CBA" w:rsidRDefault="000C0CBA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CBA">
              <w:rPr>
                <w:rFonts w:ascii="Calibri" w:eastAsia="Times New Roman" w:hAnsi="Calibri" w:cs="Calibri"/>
                <w:color w:val="000000"/>
                <w:lang w:eastAsia="hr-HR"/>
              </w:rPr>
              <w:t>41,48%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FCB0121" w14:textId="77777777" w:rsidR="000C0CBA" w:rsidRPr="000C0CBA" w:rsidRDefault="000C0CBA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CB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F97CC2" w:rsidRPr="000C0CBA" w14:paraId="64EAF312" w14:textId="77777777" w:rsidTr="00F97CC2">
        <w:trPr>
          <w:trHeight w:val="227"/>
        </w:trPr>
        <w:tc>
          <w:tcPr>
            <w:tcW w:w="2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03B55D4" w14:textId="77777777" w:rsidR="000C0CBA" w:rsidRPr="000C0CBA" w:rsidRDefault="000C0CBA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CBA">
              <w:rPr>
                <w:rFonts w:ascii="Calibri" w:eastAsia="Times New Roman" w:hAnsi="Calibri" w:cs="Calibri"/>
                <w:color w:val="000000"/>
                <w:lang w:eastAsia="hr-HR"/>
              </w:rPr>
              <w:t>6134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7F584987" w14:textId="77777777" w:rsidR="000C0CBA" w:rsidRPr="000C0CBA" w:rsidRDefault="000C0CBA" w:rsidP="000C0CB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CBA">
              <w:rPr>
                <w:rFonts w:ascii="Calibri" w:eastAsia="Times New Roman" w:hAnsi="Calibri" w:cs="Calibri"/>
                <w:color w:val="000000"/>
                <w:lang w:eastAsia="hr-HR"/>
              </w:rPr>
              <w:t>Povremeni porezi na imovinu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909C3FD" w14:textId="77777777" w:rsidR="000C0CBA" w:rsidRPr="000C0CBA" w:rsidRDefault="000C0CBA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CBA">
              <w:rPr>
                <w:rFonts w:ascii="Calibri" w:eastAsia="Times New Roman" w:hAnsi="Calibri" w:cs="Calibri"/>
                <w:color w:val="000000"/>
                <w:lang w:eastAsia="hr-HR"/>
              </w:rPr>
              <w:t>3.179,22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6B0CA8F" w14:textId="77777777" w:rsidR="000C0CBA" w:rsidRPr="000C0CBA" w:rsidRDefault="000C0CBA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CB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75776FD" w14:textId="77777777" w:rsidR="000C0CBA" w:rsidRPr="000C0CBA" w:rsidRDefault="000C0CBA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CBA">
              <w:rPr>
                <w:rFonts w:ascii="Calibri" w:eastAsia="Times New Roman" w:hAnsi="Calibri" w:cs="Calibri"/>
                <w:color w:val="000000"/>
                <w:lang w:eastAsia="hr-HR"/>
              </w:rPr>
              <w:t>3.184,14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17C93BE" w14:textId="77777777" w:rsidR="000C0CBA" w:rsidRPr="000C0CBA" w:rsidRDefault="000C0CBA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CBA">
              <w:rPr>
                <w:rFonts w:ascii="Calibri" w:eastAsia="Times New Roman" w:hAnsi="Calibri" w:cs="Calibri"/>
                <w:color w:val="000000"/>
                <w:lang w:eastAsia="hr-HR"/>
              </w:rPr>
              <w:t>100,15%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33C8C9C" w14:textId="77777777" w:rsidR="000C0CBA" w:rsidRPr="000C0CBA" w:rsidRDefault="000C0CBA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CB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F97CC2" w:rsidRPr="000C0CBA" w14:paraId="6D396E36" w14:textId="77777777" w:rsidTr="00F97CC2">
        <w:trPr>
          <w:trHeight w:val="227"/>
        </w:trPr>
        <w:tc>
          <w:tcPr>
            <w:tcW w:w="2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47BD9F0" w14:textId="77777777" w:rsidR="000C0CBA" w:rsidRPr="000C0CBA" w:rsidRDefault="000C0CBA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CBA">
              <w:rPr>
                <w:rFonts w:ascii="Calibri" w:eastAsia="Times New Roman" w:hAnsi="Calibri" w:cs="Calibri"/>
                <w:color w:val="000000"/>
                <w:lang w:eastAsia="hr-HR"/>
              </w:rPr>
              <w:t>614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3E6486A2" w14:textId="77777777" w:rsidR="000C0CBA" w:rsidRPr="000C0CBA" w:rsidRDefault="000C0CBA" w:rsidP="000C0CB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CBA">
              <w:rPr>
                <w:rFonts w:ascii="Calibri" w:eastAsia="Times New Roman" w:hAnsi="Calibri" w:cs="Calibri"/>
                <w:color w:val="000000"/>
                <w:lang w:eastAsia="hr-HR"/>
              </w:rPr>
              <w:t>Porezi na robu i usluge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18DC267" w14:textId="77777777" w:rsidR="000C0CBA" w:rsidRPr="000C0CBA" w:rsidRDefault="000C0CBA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CBA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667C32F" w14:textId="77777777" w:rsidR="000C0CBA" w:rsidRPr="000C0CBA" w:rsidRDefault="000C0CBA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CB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5B7ACC6" w14:textId="77777777" w:rsidR="000C0CBA" w:rsidRPr="000C0CBA" w:rsidRDefault="000C0CBA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CBA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26C2BCE" w14:textId="77777777" w:rsidR="000C0CBA" w:rsidRPr="000C0CBA" w:rsidRDefault="000C0CBA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CBA">
              <w:rPr>
                <w:rFonts w:ascii="Calibri" w:eastAsia="Times New Roman" w:hAnsi="Calibri" w:cs="Calibri"/>
                <w:color w:val="000000"/>
                <w:lang w:eastAsia="hr-HR"/>
              </w:rPr>
              <w:t>0,00%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AD94BB0" w14:textId="77777777" w:rsidR="000C0CBA" w:rsidRPr="000C0CBA" w:rsidRDefault="000C0CBA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CB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F97CC2" w:rsidRPr="000C0CBA" w14:paraId="4682E02E" w14:textId="77777777" w:rsidTr="00F97CC2">
        <w:trPr>
          <w:trHeight w:val="227"/>
        </w:trPr>
        <w:tc>
          <w:tcPr>
            <w:tcW w:w="2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F45EE33" w14:textId="77777777" w:rsidR="000C0CBA" w:rsidRPr="000C0CBA" w:rsidRDefault="000C0CBA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CBA">
              <w:rPr>
                <w:rFonts w:ascii="Calibri" w:eastAsia="Times New Roman" w:hAnsi="Calibri" w:cs="Calibri"/>
                <w:color w:val="000000"/>
                <w:lang w:eastAsia="hr-HR"/>
              </w:rPr>
              <w:t>6142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48CFF99C" w14:textId="77777777" w:rsidR="000C0CBA" w:rsidRPr="000C0CBA" w:rsidRDefault="000C0CBA" w:rsidP="000C0CB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CBA">
              <w:rPr>
                <w:rFonts w:ascii="Calibri" w:eastAsia="Times New Roman" w:hAnsi="Calibri" w:cs="Calibri"/>
                <w:color w:val="000000"/>
                <w:lang w:eastAsia="hr-HR"/>
              </w:rPr>
              <w:t>Porez na promet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DA7C2C4" w14:textId="77777777" w:rsidR="000C0CBA" w:rsidRPr="000C0CBA" w:rsidRDefault="000C0CBA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CBA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7E7C506" w14:textId="77777777" w:rsidR="000C0CBA" w:rsidRPr="000C0CBA" w:rsidRDefault="000C0CBA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CB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17E5FB4" w14:textId="77777777" w:rsidR="000C0CBA" w:rsidRPr="000C0CBA" w:rsidRDefault="000C0CBA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CBA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82A6525" w14:textId="77777777" w:rsidR="000C0CBA" w:rsidRPr="000C0CBA" w:rsidRDefault="000C0CBA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CBA">
              <w:rPr>
                <w:rFonts w:ascii="Calibri" w:eastAsia="Times New Roman" w:hAnsi="Calibri" w:cs="Calibri"/>
                <w:color w:val="000000"/>
                <w:lang w:eastAsia="hr-HR"/>
              </w:rPr>
              <w:t>0,00%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D76ED85" w14:textId="77777777" w:rsidR="000C0CBA" w:rsidRPr="000C0CBA" w:rsidRDefault="000C0CBA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CB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F97CC2" w:rsidRPr="000C0CBA" w14:paraId="79B21E81" w14:textId="77777777" w:rsidTr="00F97CC2">
        <w:trPr>
          <w:trHeight w:val="227"/>
        </w:trPr>
        <w:tc>
          <w:tcPr>
            <w:tcW w:w="2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5DF2EE3" w14:textId="77777777" w:rsidR="000C0CBA" w:rsidRPr="000C0CBA" w:rsidRDefault="000C0CBA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CBA">
              <w:rPr>
                <w:rFonts w:ascii="Calibri" w:eastAsia="Times New Roman" w:hAnsi="Calibri" w:cs="Calibri"/>
                <w:color w:val="000000"/>
                <w:lang w:eastAsia="hr-HR"/>
              </w:rPr>
              <w:t>6145</w:t>
            </w:r>
          </w:p>
        </w:tc>
        <w:tc>
          <w:tcPr>
            <w:tcW w:w="225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7E167CB3" w14:textId="77777777" w:rsidR="000C0CBA" w:rsidRPr="000C0CBA" w:rsidRDefault="000C0CBA" w:rsidP="000C0CB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CBA">
              <w:rPr>
                <w:rFonts w:ascii="Calibri" w:eastAsia="Times New Roman" w:hAnsi="Calibri" w:cs="Calibri"/>
                <w:color w:val="000000"/>
                <w:lang w:eastAsia="hr-HR"/>
              </w:rPr>
              <w:t>Porezi na korištenje dobara ili izvođenje aktivnosti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FBACEBF" w14:textId="77777777" w:rsidR="000C0CBA" w:rsidRPr="000C0CBA" w:rsidRDefault="000C0CBA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CBA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C9A48A1" w14:textId="77777777" w:rsidR="000C0CBA" w:rsidRPr="000C0CBA" w:rsidRDefault="000C0CBA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CB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5E1411F" w14:textId="77777777" w:rsidR="000C0CBA" w:rsidRPr="000C0CBA" w:rsidRDefault="000C0CBA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CBA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D8C2D2F" w14:textId="77777777" w:rsidR="000C0CBA" w:rsidRPr="000C0CBA" w:rsidRDefault="000C0CBA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CBA">
              <w:rPr>
                <w:rFonts w:ascii="Calibri" w:eastAsia="Times New Roman" w:hAnsi="Calibri" w:cs="Calibri"/>
                <w:color w:val="000000"/>
                <w:lang w:eastAsia="hr-HR"/>
              </w:rPr>
              <w:t>0,00%</w:t>
            </w:r>
          </w:p>
        </w:tc>
        <w:tc>
          <w:tcPr>
            <w:tcW w:w="45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5AE45A2" w14:textId="77777777" w:rsidR="000C0CBA" w:rsidRPr="000C0CBA" w:rsidRDefault="000C0CBA" w:rsidP="000C0CB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C0CB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</w:tbl>
    <w:p w14:paraId="4A34E136" w14:textId="1D03821B" w:rsidR="00900F08" w:rsidRDefault="000163DD" w:rsidP="000163DD">
      <w:pPr>
        <w:spacing w:before="120" w:after="120" w:line="24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lastRenderedPageBreak/>
        <w:t>Porez</w:t>
      </w:r>
      <w:r w:rsidRPr="00BF4249">
        <w:rPr>
          <w:rFonts w:cstheme="minorHAnsi"/>
          <w:sz w:val="22"/>
          <w:szCs w:val="22"/>
        </w:rPr>
        <w:t xml:space="preserve"> na dohodak </w:t>
      </w:r>
      <w:r>
        <w:rPr>
          <w:rFonts w:cstheme="minorHAnsi"/>
          <w:sz w:val="22"/>
          <w:szCs w:val="22"/>
        </w:rPr>
        <w:t xml:space="preserve">je </w:t>
      </w:r>
      <w:r w:rsidRPr="00BF4249">
        <w:rPr>
          <w:rFonts w:cstheme="minorHAnsi"/>
          <w:sz w:val="22"/>
          <w:szCs w:val="22"/>
        </w:rPr>
        <w:t xml:space="preserve">najznačajniji prihod unutar poreznih prihoda, </w:t>
      </w:r>
      <w:r>
        <w:rPr>
          <w:rFonts w:cstheme="minorHAnsi"/>
          <w:sz w:val="22"/>
          <w:szCs w:val="22"/>
        </w:rPr>
        <w:t xml:space="preserve">te čini </w:t>
      </w:r>
      <w:r w:rsidR="00E530A7">
        <w:rPr>
          <w:rFonts w:cstheme="minorHAnsi"/>
          <w:sz w:val="22"/>
          <w:szCs w:val="22"/>
        </w:rPr>
        <w:t>9</w:t>
      </w:r>
      <w:r w:rsidR="00F97CC2">
        <w:rPr>
          <w:rFonts w:cstheme="minorHAnsi"/>
          <w:sz w:val="22"/>
          <w:szCs w:val="22"/>
        </w:rPr>
        <w:t>6,02</w:t>
      </w:r>
      <w:r>
        <w:rPr>
          <w:rFonts w:cstheme="minorHAnsi"/>
          <w:sz w:val="22"/>
          <w:szCs w:val="22"/>
        </w:rPr>
        <w:t xml:space="preserve">% svih poreznih prihoda, </w:t>
      </w:r>
      <w:r w:rsidRPr="00BF4249">
        <w:rPr>
          <w:rFonts w:cstheme="minorHAnsi"/>
          <w:sz w:val="22"/>
          <w:szCs w:val="22"/>
        </w:rPr>
        <w:t xml:space="preserve">a u </w:t>
      </w:r>
      <w:r w:rsidR="000F0E7D">
        <w:rPr>
          <w:rFonts w:cstheme="minorHAnsi"/>
          <w:sz w:val="22"/>
          <w:szCs w:val="22"/>
        </w:rPr>
        <w:t xml:space="preserve">prvoj polovici </w:t>
      </w:r>
      <w:r w:rsidRPr="00BF4249">
        <w:rPr>
          <w:rFonts w:cstheme="minorHAnsi"/>
          <w:sz w:val="22"/>
          <w:szCs w:val="22"/>
        </w:rPr>
        <w:t>202</w:t>
      </w:r>
      <w:r w:rsidR="00F97CC2">
        <w:rPr>
          <w:rFonts w:cstheme="minorHAnsi"/>
          <w:sz w:val="22"/>
          <w:szCs w:val="22"/>
        </w:rPr>
        <w:t>5</w:t>
      </w:r>
      <w:r w:rsidRPr="00BF4249">
        <w:rPr>
          <w:rFonts w:cstheme="minorHAnsi"/>
          <w:sz w:val="22"/>
          <w:szCs w:val="22"/>
        </w:rPr>
        <w:t>. godin</w:t>
      </w:r>
      <w:r w:rsidR="000F0E7D">
        <w:rPr>
          <w:rFonts w:cstheme="minorHAnsi"/>
          <w:sz w:val="22"/>
          <w:szCs w:val="22"/>
        </w:rPr>
        <w:t>e</w:t>
      </w:r>
      <w:r w:rsidRPr="00BF4249">
        <w:rPr>
          <w:rFonts w:cstheme="minorHAnsi"/>
          <w:sz w:val="22"/>
          <w:szCs w:val="22"/>
        </w:rPr>
        <w:t xml:space="preserve"> ostvaren</w:t>
      </w:r>
      <w:r>
        <w:rPr>
          <w:rFonts w:cstheme="minorHAnsi"/>
          <w:sz w:val="22"/>
          <w:szCs w:val="22"/>
        </w:rPr>
        <w:t xml:space="preserve"> je</w:t>
      </w:r>
      <w:r w:rsidRPr="00BF4249">
        <w:rPr>
          <w:rFonts w:cstheme="minorHAnsi"/>
          <w:sz w:val="22"/>
          <w:szCs w:val="22"/>
        </w:rPr>
        <w:t xml:space="preserve"> u iznosu od </w:t>
      </w:r>
      <w:r w:rsidR="00F97CC2" w:rsidRPr="00F97CC2">
        <w:rPr>
          <w:rFonts w:cstheme="minorHAnsi"/>
          <w:sz w:val="22"/>
          <w:szCs w:val="22"/>
        </w:rPr>
        <w:t>79.928,37</w:t>
      </w:r>
      <w:r w:rsidR="000F0E7D">
        <w:rPr>
          <w:rFonts w:cstheme="minorHAnsi"/>
          <w:sz w:val="22"/>
          <w:szCs w:val="22"/>
        </w:rPr>
        <w:t xml:space="preserve"> eura</w:t>
      </w:r>
      <w:r w:rsidRPr="00BF4249">
        <w:rPr>
          <w:rFonts w:cstheme="minorHAnsi"/>
          <w:sz w:val="22"/>
          <w:szCs w:val="22"/>
        </w:rPr>
        <w:t>.</w:t>
      </w:r>
      <w:r>
        <w:rPr>
          <w:rFonts w:cstheme="minorHAnsi"/>
          <w:sz w:val="22"/>
          <w:szCs w:val="22"/>
        </w:rPr>
        <w:t xml:space="preserve"> Ostali porezni prihodi se odnose na porez na promet nekretnina, te porez na kuće za odmor čije je ostvarenje</w:t>
      </w:r>
      <w:r w:rsidR="00E530A7">
        <w:rPr>
          <w:rFonts w:cstheme="minorHAnsi"/>
          <w:sz w:val="22"/>
          <w:szCs w:val="22"/>
        </w:rPr>
        <w:t xml:space="preserve"> smanjeno</w:t>
      </w:r>
      <w:r w:rsidR="00F97CC2">
        <w:rPr>
          <w:rFonts w:cstheme="minorHAnsi"/>
          <w:sz w:val="22"/>
          <w:szCs w:val="22"/>
        </w:rPr>
        <w:t xml:space="preserve"> jer je isti ukinut, a uveden je porez na nekretnine, čije će zaduženje i naplata krenuti u jesen.</w:t>
      </w:r>
    </w:p>
    <w:p w14:paraId="75BEC43E" w14:textId="77777777" w:rsidR="000163DD" w:rsidRPr="00000576" w:rsidRDefault="000163DD" w:rsidP="000163DD">
      <w:pPr>
        <w:spacing w:before="0" w:after="120" w:line="240" w:lineRule="auto"/>
        <w:rPr>
          <w:rFonts w:cstheme="minorHAnsi"/>
          <w:sz w:val="22"/>
          <w:szCs w:val="22"/>
        </w:rPr>
      </w:pPr>
    </w:p>
    <w:p w14:paraId="01CDDD58" w14:textId="0CA7C62B" w:rsidR="00A747E5" w:rsidRPr="00F00684" w:rsidRDefault="00F00684" w:rsidP="00165728">
      <w:pPr>
        <w:pStyle w:val="Naslov3"/>
        <w:numPr>
          <w:ilvl w:val="2"/>
          <w:numId w:val="4"/>
        </w:numPr>
        <w:spacing w:before="0" w:after="120"/>
        <w:ind w:left="504"/>
        <w:rPr>
          <w:b/>
          <w:sz w:val="22"/>
        </w:rPr>
      </w:pPr>
      <w:bookmarkStart w:id="11" w:name="_Toc209436494"/>
      <w:r w:rsidRPr="00F00684">
        <w:rPr>
          <w:b/>
          <w:caps w:val="0"/>
          <w:sz w:val="22"/>
        </w:rPr>
        <w:t>Pomoći iz inozemstva i od subjekata unutar općeg proračuna</w:t>
      </w:r>
      <w:bookmarkEnd w:id="11"/>
      <w:r w:rsidRPr="00F00684">
        <w:rPr>
          <w:b/>
          <w:caps w:val="0"/>
          <w:sz w:val="22"/>
        </w:rPr>
        <w:t xml:space="preserve"> </w:t>
      </w:r>
    </w:p>
    <w:p w14:paraId="5A5AA53B" w14:textId="20204E40" w:rsidR="00996402" w:rsidRDefault="00A747E5" w:rsidP="00000576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000576">
        <w:rPr>
          <w:rFonts w:cstheme="minorHAnsi"/>
          <w:sz w:val="22"/>
          <w:szCs w:val="22"/>
        </w:rPr>
        <w:t xml:space="preserve">Pomoći iz inozemstva i od subjekata unutar općeg proračuna realizirane su u iznosu od </w:t>
      </w:r>
      <w:r w:rsidR="004A2970" w:rsidRPr="004A2970">
        <w:rPr>
          <w:rFonts w:cstheme="minorHAnsi"/>
          <w:sz w:val="22"/>
          <w:szCs w:val="22"/>
        </w:rPr>
        <w:t>185.698,68</w:t>
      </w:r>
      <w:r w:rsidR="000F0E7D">
        <w:rPr>
          <w:rFonts w:cstheme="minorHAnsi"/>
          <w:sz w:val="22"/>
          <w:szCs w:val="22"/>
        </w:rPr>
        <w:t xml:space="preserve"> eura,</w:t>
      </w:r>
      <w:r w:rsidRPr="00000576">
        <w:rPr>
          <w:rFonts w:cstheme="minorHAnsi"/>
          <w:sz w:val="22"/>
          <w:szCs w:val="22"/>
        </w:rPr>
        <w:t xml:space="preserve"> te su </w:t>
      </w:r>
      <w:r w:rsidR="000F0E7D">
        <w:rPr>
          <w:rFonts w:cstheme="minorHAnsi"/>
          <w:sz w:val="22"/>
          <w:szCs w:val="22"/>
        </w:rPr>
        <w:t xml:space="preserve">u </w:t>
      </w:r>
      <w:r w:rsidRPr="00000576">
        <w:rPr>
          <w:rFonts w:cstheme="minorHAnsi"/>
          <w:sz w:val="22"/>
          <w:szCs w:val="22"/>
        </w:rPr>
        <w:t>odnosu na prethodno izvještajno razdoblje</w:t>
      </w:r>
      <w:r w:rsidR="005C123A" w:rsidRPr="00000576">
        <w:rPr>
          <w:rFonts w:cstheme="minorHAnsi"/>
          <w:sz w:val="22"/>
          <w:szCs w:val="22"/>
        </w:rPr>
        <w:t xml:space="preserve"> </w:t>
      </w:r>
      <w:r w:rsidR="004A2970">
        <w:rPr>
          <w:rFonts w:cstheme="minorHAnsi"/>
          <w:sz w:val="22"/>
          <w:szCs w:val="22"/>
        </w:rPr>
        <w:t>manje</w:t>
      </w:r>
      <w:r w:rsidR="00E75D88">
        <w:rPr>
          <w:rFonts w:cstheme="minorHAnsi"/>
          <w:sz w:val="22"/>
          <w:szCs w:val="22"/>
        </w:rPr>
        <w:t xml:space="preserve"> za </w:t>
      </w:r>
      <w:r w:rsidR="00C95A8A">
        <w:rPr>
          <w:rFonts w:cstheme="minorHAnsi"/>
          <w:sz w:val="22"/>
          <w:szCs w:val="22"/>
        </w:rPr>
        <w:t>36,38</w:t>
      </w:r>
      <w:r w:rsidR="00117578">
        <w:rPr>
          <w:rFonts w:cstheme="minorHAnsi"/>
          <w:sz w:val="22"/>
          <w:szCs w:val="22"/>
        </w:rPr>
        <w:t>%</w:t>
      </w:r>
      <w:r w:rsidR="00C95A8A">
        <w:rPr>
          <w:rFonts w:cstheme="minorHAnsi"/>
          <w:sz w:val="22"/>
          <w:szCs w:val="22"/>
        </w:rPr>
        <w:t xml:space="preserve"> zbog neostvarenih kapitalnih pomoći, koje se uglavnom realiziraju u drugoj polovici godine.</w:t>
      </w:r>
      <w:r w:rsidR="005C123A" w:rsidRPr="00000576">
        <w:rPr>
          <w:rFonts w:cstheme="minorHAnsi"/>
          <w:sz w:val="22"/>
          <w:szCs w:val="22"/>
        </w:rPr>
        <w:t xml:space="preserve"> 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21"/>
        <w:gridCol w:w="4720"/>
        <w:gridCol w:w="1133"/>
        <w:gridCol w:w="1108"/>
        <w:gridCol w:w="1031"/>
        <w:gridCol w:w="985"/>
        <w:gridCol w:w="958"/>
      </w:tblGrid>
      <w:tr w:rsidR="004A2970" w:rsidRPr="004A2970" w14:paraId="04EAFF94" w14:textId="77777777" w:rsidTr="004A2970">
        <w:trPr>
          <w:trHeight w:val="227"/>
        </w:trPr>
        <w:tc>
          <w:tcPr>
            <w:tcW w:w="2506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599DD9C" w14:textId="77777777" w:rsidR="004A2970" w:rsidRPr="004A2970" w:rsidRDefault="004A2970" w:rsidP="004A297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>Brojčana oznaka i naziv računa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75722CA5" w14:textId="77777777" w:rsidR="004A2970" w:rsidRDefault="004A2970" w:rsidP="004A297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Izvršenje </w:t>
            </w:r>
          </w:p>
          <w:p w14:paraId="0AD79DAA" w14:textId="714B6BC4" w:rsidR="004A2970" w:rsidRPr="004A2970" w:rsidRDefault="004A2970" w:rsidP="004A297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>I-VI 2024.</w:t>
            </w:r>
          </w:p>
        </w:tc>
        <w:tc>
          <w:tcPr>
            <w:tcW w:w="53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0CC83D21" w14:textId="77777777" w:rsidR="004A2970" w:rsidRPr="004A2970" w:rsidRDefault="004A2970" w:rsidP="004A297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>Proračun 2025</w:t>
            </w:r>
          </w:p>
        </w:tc>
        <w:tc>
          <w:tcPr>
            <w:tcW w:w="49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65080C42" w14:textId="77777777" w:rsidR="004A2970" w:rsidRDefault="004A2970" w:rsidP="004A297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Izvršenje </w:t>
            </w:r>
          </w:p>
          <w:p w14:paraId="78DDE191" w14:textId="3827AC41" w:rsidR="004A2970" w:rsidRPr="004A2970" w:rsidRDefault="004A2970" w:rsidP="004A297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>I-VI 2025.</w:t>
            </w:r>
          </w:p>
        </w:tc>
        <w:tc>
          <w:tcPr>
            <w:tcW w:w="4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73237BEC" w14:textId="77777777" w:rsidR="004A2970" w:rsidRPr="004A2970" w:rsidRDefault="004A2970" w:rsidP="004A297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>Indeks (4/2*100)</w:t>
            </w:r>
          </w:p>
        </w:tc>
        <w:tc>
          <w:tcPr>
            <w:tcW w:w="45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3355FD81" w14:textId="77777777" w:rsidR="004A2970" w:rsidRPr="004A2970" w:rsidRDefault="004A2970" w:rsidP="004A297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>Indeks (4/3*100)</w:t>
            </w:r>
          </w:p>
        </w:tc>
      </w:tr>
      <w:tr w:rsidR="004A2970" w:rsidRPr="004A2970" w14:paraId="001893D4" w14:textId="77777777" w:rsidTr="004A2970">
        <w:trPr>
          <w:trHeight w:val="227"/>
        </w:trPr>
        <w:tc>
          <w:tcPr>
            <w:tcW w:w="250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7E6E6"/>
            <w:noWrap/>
            <w:vAlign w:val="center"/>
            <w:hideMark/>
          </w:tcPr>
          <w:p w14:paraId="465B8FB5" w14:textId="77777777" w:rsidR="004A2970" w:rsidRPr="004A2970" w:rsidRDefault="004A2970" w:rsidP="004A297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vAlign w:val="center"/>
            <w:hideMark/>
          </w:tcPr>
          <w:p w14:paraId="41A4DC69" w14:textId="77777777" w:rsidR="004A2970" w:rsidRPr="004A2970" w:rsidRDefault="004A2970" w:rsidP="004A297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vAlign w:val="center"/>
            <w:hideMark/>
          </w:tcPr>
          <w:p w14:paraId="6CA870D3" w14:textId="77777777" w:rsidR="004A2970" w:rsidRPr="004A2970" w:rsidRDefault="004A2970" w:rsidP="004A297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vAlign w:val="center"/>
            <w:hideMark/>
          </w:tcPr>
          <w:p w14:paraId="14FD2FD6" w14:textId="77777777" w:rsidR="004A2970" w:rsidRPr="004A2970" w:rsidRDefault="004A2970" w:rsidP="004A297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vAlign w:val="center"/>
            <w:hideMark/>
          </w:tcPr>
          <w:p w14:paraId="5020EED8" w14:textId="77777777" w:rsidR="004A2970" w:rsidRPr="004A2970" w:rsidRDefault="004A2970" w:rsidP="004A297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1A77C6F6" w14:textId="77777777" w:rsidR="004A2970" w:rsidRPr="004A2970" w:rsidRDefault="004A2970" w:rsidP="004A2970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</w:tr>
      <w:tr w:rsidR="004A2970" w:rsidRPr="004A2970" w14:paraId="15216160" w14:textId="77777777" w:rsidTr="004A2970">
        <w:trPr>
          <w:trHeight w:val="227"/>
        </w:trPr>
        <w:tc>
          <w:tcPr>
            <w:tcW w:w="2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9EBD1EE" w14:textId="77777777" w:rsidR="004A2970" w:rsidRPr="004A2970" w:rsidRDefault="004A2970" w:rsidP="004A297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63</w:t>
            </w:r>
          </w:p>
        </w:tc>
        <w:tc>
          <w:tcPr>
            <w:tcW w:w="22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6E16DDA" w14:textId="77777777" w:rsidR="004A2970" w:rsidRPr="004A2970" w:rsidRDefault="004A2970" w:rsidP="004A2970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Pomoći iz inozemstva i od subjekata unutar općeg proračuna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1403C3B" w14:textId="77777777" w:rsidR="004A2970" w:rsidRPr="004A2970" w:rsidRDefault="004A2970" w:rsidP="004A297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291.871,93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8537CF9" w14:textId="77777777" w:rsidR="004A2970" w:rsidRPr="004A2970" w:rsidRDefault="004A2970" w:rsidP="004A297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665.000,00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5EE389F" w14:textId="77777777" w:rsidR="004A2970" w:rsidRPr="004A2970" w:rsidRDefault="004A2970" w:rsidP="004A297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185.698,68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EFEEF45" w14:textId="77777777" w:rsidR="004A2970" w:rsidRPr="004A2970" w:rsidRDefault="004A2970" w:rsidP="004A297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63,62%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52E1D28" w14:textId="77777777" w:rsidR="004A2970" w:rsidRPr="004A2970" w:rsidRDefault="004A2970" w:rsidP="004A297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27,92%</w:t>
            </w:r>
          </w:p>
        </w:tc>
      </w:tr>
      <w:tr w:rsidR="004A2970" w:rsidRPr="004A2970" w14:paraId="3D38292C" w14:textId="77777777" w:rsidTr="004A2970">
        <w:trPr>
          <w:trHeight w:val="227"/>
        </w:trPr>
        <w:tc>
          <w:tcPr>
            <w:tcW w:w="2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CA14B2F" w14:textId="77777777" w:rsidR="004A2970" w:rsidRPr="004A2970" w:rsidRDefault="004A2970" w:rsidP="004A297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>633</w:t>
            </w:r>
          </w:p>
        </w:tc>
        <w:tc>
          <w:tcPr>
            <w:tcW w:w="22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12CE2377" w14:textId="77777777" w:rsidR="004A2970" w:rsidRPr="004A2970" w:rsidRDefault="004A2970" w:rsidP="004A297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>Pomoći proračunu iz drugih proračuna i izvanproračunskim korisnicima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9335A76" w14:textId="77777777" w:rsidR="004A2970" w:rsidRPr="004A2970" w:rsidRDefault="004A2970" w:rsidP="004A297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>202.771,93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2220642" w14:textId="77777777" w:rsidR="004A2970" w:rsidRPr="004A2970" w:rsidRDefault="004A2970" w:rsidP="004A297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E56DDF4" w14:textId="77777777" w:rsidR="004A2970" w:rsidRPr="004A2970" w:rsidRDefault="004A2970" w:rsidP="004A297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>4.299,84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58DBA86" w14:textId="77777777" w:rsidR="004A2970" w:rsidRPr="004A2970" w:rsidRDefault="004A2970" w:rsidP="004A297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>2,12%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9397B33" w14:textId="77777777" w:rsidR="004A2970" w:rsidRPr="004A2970" w:rsidRDefault="004A2970" w:rsidP="004A297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A2970" w:rsidRPr="004A2970" w14:paraId="199511F6" w14:textId="77777777" w:rsidTr="004A2970">
        <w:trPr>
          <w:trHeight w:val="227"/>
        </w:trPr>
        <w:tc>
          <w:tcPr>
            <w:tcW w:w="2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E904810" w14:textId="77777777" w:rsidR="004A2970" w:rsidRPr="004A2970" w:rsidRDefault="004A2970" w:rsidP="004A297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>6331</w:t>
            </w:r>
          </w:p>
        </w:tc>
        <w:tc>
          <w:tcPr>
            <w:tcW w:w="22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702967CC" w14:textId="77777777" w:rsidR="004A2970" w:rsidRPr="004A2970" w:rsidRDefault="004A2970" w:rsidP="004A297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>Tekuće pomoći proračunu iz drugih proračuna i izvanproračunskim korisnicima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F800314" w14:textId="77777777" w:rsidR="004A2970" w:rsidRPr="004A2970" w:rsidRDefault="004A2970" w:rsidP="004A297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>110.848,86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D030DC6" w14:textId="77777777" w:rsidR="004A2970" w:rsidRPr="004A2970" w:rsidRDefault="004A2970" w:rsidP="004A297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9345A58" w14:textId="77777777" w:rsidR="004A2970" w:rsidRPr="004A2970" w:rsidRDefault="004A2970" w:rsidP="004A297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>4.299,84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87AADB8" w14:textId="77777777" w:rsidR="004A2970" w:rsidRPr="004A2970" w:rsidRDefault="004A2970" w:rsidP="004A297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>3,88%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5675E2E" w14:textId="77777777" w:rsidR="004A2970" w:rsidRPr="004A2970" w:rsidRDefault="004A2970" w:rsidP="004A297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A2970" w:rsidRPr="004A2970" w14:paraId="24821F82" w14:textId="77777777" w:rsidTr="004A2970">
        <w:trPr>
          <w:trHeight w:val="227"/>
        </w:trPr>
        <w:tc>
          <w:tcPr>
            <w:tcW w:w="2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6DEB89A" w14:textId="77777777" w:rsidR="004A2970" w:rsidRPr="004A2970" w:rsidRDefault="004A2970" w:rsidP="004A297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>6332</w:t>
            </w:r>
          </w:p>
        </w:tc>
        <w:tc>
          <w:tcPr>
            <w:tcW w:w="22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295CA232" w14:textId="77777777" w:rsidR="004A2970" w:rsidRPr="004A2970" w:rsidRDefault="004A2970" w:rsidP="004A297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>Kapitalne pomoći proračunu iz drugih proračuna i izvanproračunskim korisnicima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1C71F1F" w14:textId="77777777" w:rsidR="004A2970" w:rsidRPr="004A2970" w:rsidRDefault="004A2970" w:rsidP="004A297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>91.923,07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F01C2A0" w14:textId="77777777" w:rsidR="004A2970" w:rsidRPr="004A2970" w:rsidRDefault="004A2970" w:rsidP="004A297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1945036" w14:textId="77777777" w:rsidR="004A2970" w:rsidRPr="004A2970" w:rsidRDefault="004A2970" w:rsidP="004A297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1D60A85" w14:textId="77777777" w:rsidR="004A2970" w:rsidRPr="004A2970" w:rsidRDefault="004A2970" w:rsidP="004A297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>0,00%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B5E8786" w14:textId="77777777" w:rsidR="004A2970" w:rsidRPr="004A2970" w:rsidRDefault="004A2970" w:rsidP="004A297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A2970" w:rsidRPr="004A2970" w14:paraId="3EA85E6A" w14:textId="77777777" w:rsidTr="004A2970">
        <w:trPr>
          <w:trHeight w:val="227"/>
        </w:trPr>
        <w:tc>
          <w:tcPr>
            <w:tcW w:w="2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EFF9392" w14:textId="77777777" w:rsidR="004A2970" w:rsidRPr="004A2970" w:rsidRDefault="004A2970" w:rsidP="004A297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>634</w:t>
            </w:r>
          </w:p>
        </w:tc>
        <w:tc>
          <w:tcPr>
            <w:tcW w:w="22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1DCD1D9C" w14:textId="77777777" w:rsidR="004A2970" w:rsidRPr="004A2970" w:rsidRDefault="004A2970" w:rsidP="004A297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>Pomoći od izvanproračunskih korisnika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0F5ADC8" w14:textId="77777777" w:rsidR="004A2970" w:rsidRPr="004A2970" w:rsidRDefault="004A2970" w:rsidP="004A297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C18AFC4" w14:textId="77777777" w:rsidR="004A2970" w:rsidRPr="004A2970" w:rsidRDefault="004A2970" w:rsidP="004A297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A1BD16F" w14:textId="77777777" w:rsidR="004A2970" w:rsidRPr="004A2970" w:rsidRDefault="004A2970" w:rsidP="004A297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>7.020,30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83E8A5B" w14:textId="77777777" w:rsidR="004A2970" w:rsidRPr="004A2970" w:rsidRDefault="004A2970" w:rsidP="004A297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>0,00%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24EA8A4" w14:textId="77777777" w:rsidR="004A2970" w:rsidRPr="004A2970" w:rsidRDefault="004A2970" w:rsidP="004A297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A2970" w:rsidRPr="004A2970" w14:paraId="39816C08" w14:textId="77777777" w:rsidTr="004A2970">
        <w:trPr>
          <w:trHeight w:val="227"/>
        </w:trPr>
        <w:tc>
          <w:tcPr>
            <w:tcW w:w="2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C3AE33F" w14:textId="77777777" w:rsidR="004A2970" w:rsidRPr="004A2970" w:rsidRDefault="004A2970" w:rsidP="004A297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>6341</w:t>
            </w:r>
          </w:p>
        </w:tc>
        <w:tc>
          <w:tcPr>
            <w:tcW w:w="22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5A2CC073" w14:textId="77777777" w:rsidR="004A2970" w:rsidRPr="004A2970" w:rsidRDefault="004A2970" w:rsidP="004A297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>Tekuće pomoći od izvanproračunskih korisnika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1DFF072" w14:textId="77777777" w:rsidR="004A2970" w:rsidRPr="004A2970" w:rsidRDefault="004A2970" w:rsidP="004A297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717F1C7" w14:textId="77777777" w:rsidR="004A2970" w:rsidRPr="004A2970" w:rsidRDefault="004A2970" w:rsidP="004A297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CA300CA" w14:textId="77777777" w:rsidR="004A2970" w:rsidRPr="004A2970" w:rsidRDefault="004A2970" w:rsidP="004A297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>7.020,30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4621745" w14:textId="77777777" w:rsidR="004A2970" w:rsidRPr="004A2970" w:rsidRDefault="004A2970" w:rsidP="004A297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>0,00%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2239113" w14:textId="77777777" w:rsidR="004A2970" w:rsidRPr="004A2970" w:rsidRDefault="004A2970" w:rsidP="004A297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A2970" w:rsidRPr="004A2970" w14:paraId="2B0DD1F7" w14:textId="77777777" w:rsidTr="004A2970">
        <w:trPr>
          <w:trHeight w:val="227"/>
        </w:trPr>
        <w:tc>
          <w:tcPr>
            <w:tcW w:w="2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51A387D" w14:textId="77777777" w:rsidR="004A2970" w:rsidRPr="004A2970" w:rsidRDefault="004A2970" w:rsidP="004A297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>6342</w:t>
            </w:r>
          </w:p>
        </w:tc>
        <w:tc>
          <w:tcPr>
            <w:tcW w:w="22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49F5D51F" w14:textId="77777777" w:rsidR="004A2970" w:rsidRPr="004A2970" w:rsidRDefault="004A2970" w:rsidP="004A297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>Kapitalne pomoći od izvanproračunskih korisnika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6FDEB90" w14:textId="77777777" w:rsidR="004A2970" w:rsidRPr="004A2970" w:rsidRDefault="004A2970" w:rsidP="004A297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642E356" w14:textId="77777777" w:rsidR="004A2970" w:rsidRPr="004A2970" w:rsidRDefault="004A2970" w:rsidP="004A297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F17FCA2" w14:textId="77777777" w:rsidR="004A2970" w:rsidRPr="004A2970" w:rsidRDefault="004A2970" w:rsidP="004A297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643BB00" w14:textId="77777777" w:rsidR="004A2970" w:rsidRPr="004A2970" w:rsidRDefault="004A2970" w:rsidP="004A297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>0,00%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F69DB45" w14:textId="77777777" w:rsidR="004A2970" w:rsidRPr="004A2970" w:rsidRDefault="004A2970" w:rsidP="004A297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A2970" w:rsidRPr="004A2970" w14:paraId="5AB88AAE" w14:textId="77777777" w:rsidTr="004A2970">
        <w:trPr>
          <w:trHeight w:val="227"/>
        </w:trPr>
        <w:tc>
          <w:tcPr>
            <w:tcW w:w="2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C3CB9C9" w14:textId="77777777" w:rsidR="004A2970" w:rsidRPr="004A2970" w:rsidRDefault="004A2970" w:rsidP="004A297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>635</w:t>
            </w:r>
          </w:p>
        </w:tc>
        <w:tc>
          <w:tcPr>
            <w:tcW w:w="22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50B031AE" w14:textId="3DDABF99" w:rsidR="004A2970" w:rsidRPr="004A2970" w:rsidRDefault="004A2970" w:rsidP="00DE6F4E">
            <w:pPr>
              <w:spacing w:before="0"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Pomoći izravnanja za </w:t>
            </w:r>
            <w:proofErr w:type="spellStart"/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>decent</w:t>
            </w:r>
            <w:proofErr w:type="spellEnd"/>
            <w:r w:rsidR="00DE6F4E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r w:rsidR="00DE6F4E">
              <w:rPr>
                <w:rFonts w:ascii="Calibri" w:eastAsia="Times New Roman" w:hAnsi="Calibri" w:cs="Calibri"/>
                <w:color w:val="000000"/>
                <w:lang w:eastAsia="hr-HR"/>
              </w:rPr>
              <w:t>f</w:t>
            </w: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>unk</w:t>
            </w:r>
            <w:r w:rsidR="00DE6F4E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i fiskalnog izravnanja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26EBC00" w14:textId="77777777" w:rsidR="004A2970" w:rsidRPr="004A2970" w:rsidRDefault="004A2970" w:rsidP="004A297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D2F1308" w14:textId="77777777" w:rsidR="004A2970" w:rsidRPr="004A2970" w:rsidRDefault="004A2970" w:rsidP="004A297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1F9FB3D" w14:textId="77777777" w:rsidR="004A2970" w:rsidRPr="004A2970" w:rsidRDefault="004A2970" w:rsidP="004A297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>114.192,84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E282B1F" w14:textId="77777777" w:rsidR="004A2970" w:rsidRPr="004A2970" w:rsidRDefault="004A2970" w:rsidP="004A297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>0,00%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60B4DE7" w14:textId="77777777" w:rsidR="004A2970" w:rsidRPr="004A2970" w:rsidRDefault="004A2970" w:rsidP="004A297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A2970" w:rsidRPr="004A2970" w14:paraId="02943777" w14:textId="77777777" w:rsidTr="004A2970">
        <w:trPr>
          <w:trHeight w:val="227"/>
        </w:trPr>
        <w:tc>
          <w:tcPr>
            <w:tcW w:w="2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4AD2766" w14:textId="77777777" w:rsidR="004A2970" w:rsidRPr="004A2970" w:rsidRDefault="004A2970" w:rsidP="004A297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>6353</w:t>
            </w:r>
          </w:p>
        </w:tc>
        <w:tc>
          <w:tcPr>
            <w:tcW w:w="22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31CD6D5D" w14:textId="77777777" w:rsidR="004A2970" w:rsidRPr="004A2970" w:rsidRDefault="004A2970" w:rsidP="004A297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>Pomoći fiskalnog izravnanja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0E9659F" w14:textId="77777777" w:rsidR="004A2970" w:rsidRPr="004A2970" w:rsidRDefault="004A2970" w:rsidP="004A297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4EC60A1" w14:textId="77777777" w:rsidR="004A2970" w:rsidRPr="004A2970" w:rsidRDefault="004A2970" w:rsidP="004A297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B43A81F" w14:textId="77777777" w:rsidR="004A2970" w:rsidRPr="004A2970" w:rsidRDefault="004A2970" w:rsidP="004A297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>114.192,84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D95B0D5" w14:textId="77777777" w:rsidR="004A2970" w:rsidRPr="004A2970" w:rsidRDefault="004A2970" w:rsidP="004A297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>0,00%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2ADDA16" w14:textId="77777777" w:rsidR="004A2970" w:rsidRPr="004A2970" w:rsidRDefault="004A2970" w:rsidP="004A297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A2970" w:rsidRPr="004A2970" w14:paraId="7C77CB1B" w14:textId="77777777" w:rsidTr="004A2970">
        <w:trPr>
          <w:trHeight w:val="227"/>
        </w:trPr>
        <w:tc>
          <w:tcPr>
            <w:tcW w:w="2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B208FEC" w14:textId="77777777" w:rsidR="004A2970" w:rsidRPr="004A2970" w:rsidRDefault="004A2970" w:rsidP="004A297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>638</w:t>
            </w:r>
          </w:p>
        </w:tc>
        <w:tc>
          <w:tcPr>
            <w:tcW w:w="22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7B3E1358" w14:textId="77777777" w:rsidR="004A2970" w:rsidRPr="004A2970" w:rsidRDefault="004A2970" w:rsidP="004A297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>Pomoći temeljem prijenosa EU sredstava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7791A29" w14:textId="77777777" w:rsidR="004A2970" w:rsidRPr="004A2970" w:rsidRDefault="004A2970" w:rsidP="004A297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>89.100,00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BED638C" w14:textId="77777777" w:rsidR="004A2970" w:rsidRPr="004A2970" w:rsidRDefault="004A2970" w:rsidP="004A297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D10C4BA" w14:textId="77777777" w:rsidR="004A2970" w:rsidRPr="004A2970" w:rsidRDefault="004A2970" w:rsidP="004A297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>60.185,70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7580FBB" w14:textId="77777777" w:rsidR="004A2970" w:rsidRPr="004A2970" w:rsidRDefault="004A2970" w:rsidP="004A297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>67,55%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8602BA9" w14:textId="77777777" w:rsidR="004A2970" w:rsidRPr="004A2970" w:rsidRDefault="004A2970" w:rsidP="004A297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A2970" w:rsidRPr="004A2970" w14:paraId="1C341F59" w14:textId="77777777" w:rsidTr="004A2970">
        <w:trPr>
          <w:trHeight w:val="227"/>
        </w:trPr>
        <w:tc>
          <w:tcPr>
            <w:tcW w:w="24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AB7CD69" w14:textId="77777777" w:rsidR="004A2970" w:rsidRPr="004A2970" w:rsidRDefault="004A2970" w:rsidP="004A297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>6381</w:t>
            </w:r>
          </w:p>
        </w:tc>
        <w:tc>
          <w:tcPr>
            <w:tcW w:w="225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184FFFB3" w14:textId="77777777" w:rsidR="004A2970" w:rsidRPr="004A2970" w:rsidRDefault="004A2970" w:rsidP="004A2970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>Tekuće pomoći temeljem prijenosa EU sredstava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011459A" w14:textId="77777777" w:rsidR="004A2970" w:rsidRPr="004A2970" w:rsidRDefault="004A2970" w:rsidP="004A297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>89.100,00</w:t>
            </w:r>
          </w:p>
        </w:tc>
        <w:tc>
          <w:tcPr>
            <w:tcW w:w="53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1A7FB0A" w14:textId="77777777" w:rsidR="004A2970" w:rsidRPr="004A2970" w:rsidRDefault="004A2970" w:rsidP="004A297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4567D28" w14:textId="77777777" w:rsidR="004A2970" w:rsidRPr="004A2970" w:rsidRDefault="004A2970" w:rsidP="004A297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>60.185,70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50C4F28" w14:textId="77777777" w:rsidR="004A2970" w:rsidRPr="004A2970" w:rsidRDefault="004A2970" w:rsidP="004A297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>67,55%</w:t>
            </w:r>
          </w:p>
        </w:tc>
        <w:tc>
          <w:tcPr>
            <w:tcW w:w="458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4459364" w14:textId="77777777" w:rsidR="004A2970" w:rsidRPr="004A2970" w:rsidRDefault="004A2970" w:rsidP="004A2970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A297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</w:tbl>
    <w:p w14:paraId="5FEE93FA" w14:textId="78417E8B" w:rsidR="00C95A8A" w:rsidRDefault="00C95A8A" w:rsidP="0045314E">
      <w:pPr>
        <w:spacing w:before="120" w:after="120" w:line="24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Tekuće pomoći iz drugih proračuna ostvarene su u iznosu od </w:t>
      </w:r>
      <w:r w:rsidRPr="00C95A8A">
        <w:rPr>
          <w:rFonts w:cstheme="minorHAnsi"/>
          <w:sz w:val="22"/>
          <w:szCs w:val="22"/>
        </w:rPr>
        <w:t>4.299,84</w:t>
      </w:r>
      <w:r>
        <w:rPr>
          <w:rFonts w:cstheme="minorHAnsi"/>
          <w:sz w:val="22"/>
          <w:szCs w:val="22"/>
        </w:rPr>
        <w:t xml:space="preserve"> eura, a odnose se na pomoć od OBŽ za sufinanciranje troškova lokalnih izbora. Ova vrsta prihoda smanjenja je 96,12% u odnosu na prethodnu godinu zbog primjene novog Pravilnika o proračunskom računovodstvu, prema kojem se sredstva fiskalnog izravnanja knjiže na drugom kontu.</w:t>
      </w:r>
    </w:p>
    <w:p w14:paraId="4A722279" w14:textId="4878DFF2" w:rsidR="00F10065" w:rsidRDefault="008B4A19" w:rsidP="00000576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Pomoći </w:t>
      </w:r>
      <w:r w:rsidR="001125F1" w:rsidRPr="00000576">
        <w:rPr>
          <w:rFonts w:cstheme="minorHAnsi"/>
          <w:sz w:val="22"/>
          <w:szCs w:val="22"/>
        </w:rPr>
        <w:t xml:space="preserve">od </w:t>
      </w:r>
      <w:r w:rsidR="00181225" w:rsidRPr="00000576">
        <w:rPr>
          <w:rFonts w:cstheme="minorHAnsi"/>
          <w:sz w:val="22"/>
          <w:szCs w:val="22"/>
        </w:rPr>
        <w:t>izvanproračunskih korisnika</w:t>
      </w:r>
      <w:r w:rsidR="00250D2E" w:rsidRPr="00000576">
        <w:rPr>
          <w:rFonts w:cstheme="minorHAnsi"/>
          <w:sz w:val="22"/>
          <w:szCs w:val="22"/>
        </w:rPr>
        <w:t xml:space="preserve"> </w:t>
      </w:r>
      <w:r w:rsidR="00457F7D">
        <w:rPr>
          <w:rFonts w:cstheme="minorHAnsi"/>
          <w:sz w:val="22"/>
          <w:szCs w:val="22"/>
        </w:rPr>
        <w:t xml:space="preserve">ostvarene </w:t>
      </w:r>
      <w:r w:rsidR="00C82C21">
        <w:rPr>
          <w:rFonts w:cstheme="minorHAnsi"/>
          <w:sz w:val="22"/>
          <w:szCs w:val="22"/>
        </w:rPr>
        <w:t xml:space="preserve">su u iznosu od </w:t>
      </w:r>
      <w:r w:rsidR="00C82C21" w:rsidRPr="00C82C21">
        <w:rPr>
          <w:rFonts w:cstheme="minorHAnsi"/>
          <w:sz w:val="22"/>
          <w:szCs w:val="22"/>
        </w:rPr>
        <w:t>7.020,30</w:t>
      </w:r>
      <w:r w:rsidR="00C82C21">
        <w:rPr>
          <w:rFonts w:cstheme="minorHAnsi"/>
          <w:sz w:val="22"/>
          <w:szCs w:val="22"/>
        </w:rPr>
        <w:t xml:space="preserve"> eura, a odnose se na pomoć od HZZ-a za provođenje programa javnih radova</w:t>
      </w:r>
      <w:r w:rsidR="00F10065">
        <w:rPr>
          <w:rFonts w:cstheme="minorHAnsi"/>
          <w:sz w:val="22"/>
          <w:szCs w:val="22"/>
        </w:rPr>
        <w:t>.</w:t>
      </w:r>
      <w:r w:rsidR="00F10065" w:rsidRPr="00F10065">
        <w:rPr>
          <w:rFonts w:cstheme="minorHAnsi"/>
          <w:sz w:val="22"/>
          <w:szCs w:val="22"/>
        </w:rPr>
        <w:t xml:space="preserve"> </w:t>
      </w:r>
    </w:p>
    <w:p w14:paraId="69397953" w14:textId="77777777" w:rsidR="00C82C21" w:rsidRDefault="00C82C21" w:rsidP="00C95A8A">
      <w:pPr>
        <w:spacing w:before="120" w:after="120" w:line="24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Pomoći fiskalnog izravnanja</w:t>
      </w:r>
      <w:r w:rsidRPr="00000576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najznačajniji su prihod unutar ove skupine prihoda, a odnose se na isplate kompenzacijske mjere iz državnog proračuna, te su ostvarene u iznosu od </w:t>
      </w:r>
      <w:r w:rsidRPr="00C95A8A">
        <w:rPr>
          <w:rFonts w:cstheme="minorHAnsi"/>
          <w:sz w:val="22"/>
          <w:szCs w:val="22"/>
        </w:rPr>
        <w:t>114.192,84</w:t>
      </w:r>
      <w:r>
        <w:rPr>
          <w:rFonts w:cstheme="minorHAnsi"/>
          <w:sz w:val="22"/>
          <w:szCs w:val="22"/>
        </w:rPr>
        <w:t xml:space="preserve"> eura.</w:t>
      </w:r>
      <w:r w:rsidRPr="00000576">
        <w:rPr>
          <w:rFonts w:cstheme="minorHAnsi"/>
          <w:sz w:val="22"/>
          <w:szCs w:val="22"/>
        </w:rPr>
        <w:t xml:space="preserve"> </w:t>
      </w:r>
    </w:p>
    <w:p w14:paraId="41EC19B5" w14:textId="4426843C" w:rsidR="00C95A8A" w:rsidRPr="00000576" w:rsidRDefault="008C2930" w:rsidP="00C95A8A">
      <w:pPr>
        <w:spacing w:before="120" w:after="120" w:line="240" w:lineRule="auto"/>
        <w:jc w:val="both"/>
        <w:rPr>
          <w:rFonts w:cstheme="minorHAnsi"/>
          <w:sz w:val="22"/>
          <w:szCs w:val="22"/>
        </w:rPr>
      </w:pPr>
      <w:r w:rsidRPr="008C2930">
        <w:rPr>
          <w:rFonts w:cstheme="minorHAnsi"/>
          <w:sz w:val="22"/>
          <w:szCs w:val="22"/>
        </w:rPr>
        <w:t xml:space="preserve">Pomoći temeljem prijenosa EU sredstava ostvarene su u iznosu od </w:t>
      </w:r>
      <w:r w:rsidR="00C82C21" w:rsidRPr="00C82C21">
        <w:rPr>
          <w:rFonts w:cstheme="minorHAnsi"/>
          <w:sz w:val="22"/>
          <w:szCs w:val="22"/>
        </w:rPr>
        <w:t>60.185,70</w:t>
      </w:r>
      <w:r w:rsidR="008B4A19">
        <w:rPr>
          <w:rFonts w:cstheme="minorHAnsi"/>
          <w:sz w:val="22"/>
          <w:szCs w:val="22"/>
        </w:rPr>
        <w:t xml:space="preserve"> eura</w:t>
      </w:r>
      <w:r w:rsidRPr="008C2930">
        <w:rPr>
          <w:rFonts w:cstheme="minorHAnsi"/>
          <w:sz w:val="22"/>
          <w:szCs w:val="22"/>
        </w:rPr>
        <w:t xml:space="preserve">, </w:t>
      </w:r>
      <w:r w:rsidR="008B4A19">
        <w:rPr>
          <w:rFonts w:cstheme="minorHAnsi"/>
          <w:sz w:val="22"/>
          <w:szCs w:val="22"/>
        </w:rPr>
        <w:t xml:space="preserve">a u potpunosti se odnose na </w:t>
      </w:r>
      <w:r w:rsidR="00C82C21">
        <w:rPr>
          <w:rFonts w:cstheme="minorHAnsi"/>
          <w:sz w:val="22"/>
          <w:szCs w:val="22"/>
        </w:rPr>
        <w:t xml:space="preserve">nadoknadu sredstva </w:t>
      </w:r>
      <w:r w:rsidR="00457F7D">
        <w:rPr>
          <w:rFonts w:cstheme="minorHAnsi"/>
          <w:sz w:val="22"/>
          <w:szCs w:val="22"/>
        </w:rPr>
        <w:t xml:space="preserve">za provedbu </w:t>
      </w:r>
      <w:r w:rsidRPr="008C2930">
        <w:rPr>
          <w:rFonts w:cstheme="minorHAnsi"/>
          <w:sz w:val="22"/>
          <w:szCs w:val="22"/>
        </w:rPr>
        <w:t>projekt</w:t>
      </w:r>
      <w:r w:rsidR="00457F7D">
        <w:rPr>
          <w:rFonts w:cstheme="minorHAnsi"/>
          <w:sz w:val="22"/>
          <w:szCs w:val="22"/>
        </w:rPr>
        <w:t>a</w:t>
      </w:r>
      <w:r w:rsidRPr="008C2930">
        <w:rPr>
          <w:rFonts w:cstheme="minorHAnsi"/>
          <w:sz w:val="22"/>
          <w:szCs w:val="22"/>
        </w:rPr>
        <w:t xml:space="preserve"> „Zaželi </w:t>
      </w:r>
      <w:r w:rsidR="008B4A19">
        <w:rPr>
          <w:rFonts w:cstheme="minorHAnsi"/>
          <w:sz w:val="22"/>
          <w:szCs w:val="22"/>
        </w:rPr>
        <w:t>I</w:t>
      </w:r>
      <w:r w:rsidR="00457F7D">
        <w:rPr>
          <w:rFonts w:cstheme="minorHAnsi"/>
          <w:sz w:val="22"/>
          <w:szCs w:val="22"/>
        </w:rPr>
        <w:t>V – Srcem za njih 3</w:t>
      </w:r>
      <w:r w:rsidRPr="008C2930">
        <w:rPr>
          <w:rFonts w:cstheme="minorHAnsi"/>
          <w:sz w:val="22"/>
          <w:szCs w:val="22"/>
        </w:rPr>
        <w:t>“.</w:t>
      </w:r>
      <w:r w:rsidR="00C95A8A" w:rsidRPr="00C95A8A">
        <w:rPr>
          <w:rFonts w:cstheme="minorHAnsi"/>
          <w:sz w:val="22"/>
          <w:szCs w:val="22"/>
        </w:rPr>
        <w:t xml:space="preserve"> </w:t>
      </w:r>
    </w:p>
    <w:p w14:paraId="626B05F2" w14:textId="77777777" w:rsidR="00554C35" w:rsidRDefault="00554C35" w:rsidP="00000576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</w:p>
    <w:p w14:paraId="18F75F5B" w14:textId="0F01AE19" w:rsidR="00084D94" w:rsidRPr="0045314E" w:rsidRDefault="0045314E" w:rsidP="00165728">
      <w:pPr>
        <w:pStyle w:val="Naslov3"/>
        <w:numPr>
          <w:ilvl w:val="2"/>
          <w:numId w:val="4"/>
        </w:numPr>
        <w:spacing w:before="0" w:after="120"/>
        <w:ind w:left="504"/>
        <w:rPr>
          <w:b/>
          <w:sz w:val="22"/>
        </w:rPr>
      </w:pPr>
      <w:bookmarkStart w:id="12" w:name="_Toc209436495"/>
      <w:r w:rsidRPr="0045314E">
        <w:rPr>
          <w:b/>
          <w:caps w:val="0"/>
          <w:sz w:val="22"/>
        </w:rPr>
        <w:t>Prihodi od imovine</w:t>
      </w:r>
      <w:bookmarkEnd w:id="12"/>
    </w:p>
    <w:p w14:paraId="6511EC7E" w14:textId="3C9EA2A8" w:rsidR="007971C9" w:rsidRDefault="00274052" w:rsidP="00000576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1617F4">
        <w:rPr>
          <w:rFonts w:cstheme="minorHAnsi"/>
          <w:sz w:val="22"/>
          <w:szCs w:val="22"/>
        </w:rPr>
        <w:t xml:space="preserve">Prihodi od imovine realizirani su u iznosu od </w:t>
      </w:r>
      <w:r w:rsidR="001617F4" w:rsidRPr="001617F4">
        <w:rPr>
          <w:rFonts w:cstheme="minorHAnsi"/>
          <w:sz w:val="22"/>
          <w:szCs w:val="22"/>
        </w:rPr>
        <w:t>9.867,38</w:t>
      </w:r>
      <w:r w:rsidR="00554C35" w:rsidRPr="001617F4">
        <w:rPr>
          <w:rFonts w:cstheme="minorHAnsi"/>
          <w:sz w:val="22"/>
          <w:szCs w:val="22"/>
        </w:rPr>
        <w:t xml:space="preserve"> eura</w:t>
      </w:r>
      <w:r w:rsidRPr="001617F4">
        <w:rPr>
          <w:rFonts w:cstheme="minorHAnsi"/>
          <w:sz w:val="22"/>
          <w:szCs w:val="22"/>
        </w:rPr>
        <w:t xml:space="preserve">, što predstavlja </w:t>
      </w:r>
      <w:r w:rsidR="001617F4">
        <w:rPr>
          <w:rFonts w:cstheme="minorHAnsi"/>
          <w:sz w:val="22"/>
          <w:szCs w:val="22"/>
        </w:rPr>
        <w:t>smanjenje</w:t>
      </w:r>
      <w:r w:rsidR="00894864" w:rsidRPr="001617F4">
        <w:rPr>
          <w:rFonts w:cstheme="minorHAnsi"/>
          <w:sz w:val="22"/>
          <w:szCs w:val="22"/>
        </w:rPr>
        <w:t xml:space="preserve"> </w:t>
      </w:r>
      <w:r w:rsidRPr="001617F4">
        <w:rPr>
          <w:rFonts w:cstheme="minorHAnsi"/>
          <w:sz w:val="22"/>
          <w:szCs w:val="22"/>
        </w:rPr>
        <w:t>u odnosu na</w:t>
      </w:r>
      <w:r w:rsidR="00554C35" w:rsidRPr="001617F4">
        <w:rPr>
          <w:rFonts w:cstheme="minorHAnsi"/>
          <w:sz w:val="22"/>
          <w:szCs w:val="22"/>
        </w:rPr>
        <w:t xml:space="preserve"> isto razdoblje </w:t>
      </w:r>
      <w:r w:rsidR="00E6182A" w:rsidRPr="001617F4">
        <w:rPr>
          <w:rFonts w:cstheme="minorHAnsi"/>
          <w:sz w:val="22"/>
          <w:szCs w:val="22"/>
        </w:rPr>
        <w:t>202</w:t>
      </w:r>
      <w:r w:rsidR="001617F4">
        <w:rPr>
          <w:rFonts w:cstheme="minorHAnsi"/>
          <w:sz w:val="22"/>
          <w:szCs w:val="22"/>
        </w:rPr>
        <w:t>4</w:t>
      </w:r>
      <w:r w:rsidR="00E6182A" w:rsidRPr="001617F4">
        <w:rPr>
          <w:rFonts w:cstheme="minorHAnsi"/>
          <w:sz w:val="22"/>
          <w:szCs w:val="22"/>
        </w:rPr>
        <w:t>. godin</w:t>
      </w:r>
      <w:r w:rsidR="000518BD" w:rsidRPr="001617F4">
        <w:rPr>
          <w:rFonts w:cstheme="minorHAnsi"/>
          <w:sz w:val="22"/>
          <w:szCs w:val="22"/>
        </w:rPr>
        <w:t>e</w:t>
      </w:r>
      <w:r w:rsidR="00BC38E5" w:rsidRPr="001617F4">
        <w:rPr>
          <w:rFonts w:cstheme="minorHAnsi"/>
          <w:sz w:val="22"/>
          <w:szCs w:val="22"/>
        </w:rPr>
        <w:t xml:space="preserve">, a ostvareno je </w:t>
      </w:r>
      <w:r w:rsidR="001617F4">
        <w:rPr>
          <w:rFonts w:cstheme="minorHAnsi"/>
          <w:sz w:val="22"/>
          <w:szCs w:val="22"/>
        </w:rPr>
        <w:t>16,47</w:t>
      </w:r>
      <w:r w:rsidR="00BC38E5" w:rsidRPr="001617F4">
        <w:rPr>
          <w:rFonts w:cstheme="minorHAnsi"/>
          <w:sz w:val="22"/>
          <w:szCs w:val="22"/>
        </w:rPr>
        <w:t>% planiranog iznosa.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9"/>
        <w:gridCol w:w="4682"/>
        <w:gridCol w:w="1136"/>
        <w:gridCol w:w="1133"/>
        <w:gridCol w:w="966"/>
        <w:gridCol w:w="1018"/>
        <w:gridCol w:w="962"/>
      </w:tblGrid>
      <w:tr w:rsidR="001617F4" w:rsidRPr="001617F4" w14:paraId="66D85D36" w14:textId="77777777" w:rsidTr="001617F4">
        <w:trPr>
          <w:trHeight w:val="227"/>
        </w:trPr>
        <w:tc>
          <w:tcPr>
            <w:tcW w:w="2506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3041E50" w14:textId="77777777" w:rsidR="001617F4" w:rsidRPr="001617F4" w:rsidRDefault="001617F4" w:rsidP="001617F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17F4">
              <w:rPr>
                <w:rFonts w:ascii="Calibri" w:eastAsia="Times New Roman" w:hAnsi="Calibri" w:cs="Calibri"/>
                <w:color w:val="000000"/>
                <w:lang w:eastAsia="hr-HR"/>
              </w:rPr>
              <w:t>Brojčana oznaka i naziv računa</w:t>
            </w:r>
          </w:p>
        </w:tc>
        <w:tc>
          <w:tcPr>
            <w:tcW w:w="54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6C223907" w14:textId="77777777" w:rsidR="001617F4" w:rsidRDefault="001617F4" w:rsidP="001617F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17F4">
              <w:rPr>
                <w:rFonts w:ascii="Calibri" w:eastAsia="Times New Roman" w:hAnsi="Calibri" w:cs="Calibri"/>
                <w:color w:val="000000"/>
                <w:lang w:eastAsia="hr-HR"/>
              </w:rPr>
              <w:t>Izvršenje</w:t>
            </w:r>
          </w:p>
          <w:p w14:paraId="300BCCA3" w14:textId="76711AE8" w:rsidR="001617F4" w:rsidRPr="001617F4" w:rsidRDefault="001617F4" w:rsidP="001617F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17F4">
              <w:rPr>
                <w:rFonts w:ascii="Calibri" w:eastAsia="Times New Roman" w:hAnsi="Calibri" w:cs="Calibri"/>
                <w:color w:val="000000"/>
                <w:lang w:eastAsia="hr-HR"/>
              </w:rPr>
              <w:t>I-VI 2024.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4FB6606E" w14:textId="77777777" w:rsidR="001617F4" w:rsidRPr="001617F4" w:rsidRDefault="001617F4" w:rsidP="001617F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17F4">
              <w:rPr>
                <w:rFonts w:ascii="Calibri" w:eastAsia="Times New Roman" w:hAnsi="Calibri" w:cs="Calibri"/>
                <w:color w:val="000000"/>
                <w:lang w:eastAsia="hr-HR"/>
              </w:rPr>
              <w:t>Proračun 2025</w:t>
            </w:r>
          </w:p>
        </w:tc>
        <w:tc>
          <w:tcPr>
            <w:tcW w:w="46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229E4649" w14:textId="77777777" w:rsidR="001617F4" w:rsidRPr="001617F4" w:rsidRDefault="001617F4" w:rsidP="001617F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17F4">
              <w:rPr>
                <w:rFonts w:ascii="Calibri" w:eastAsia="Times New Roman" w:hAnsi="Calibri" w:cs="Calibri"/>
                <w:color w:val="000000"/>
                <w:lang w:eastAsia="hr-HR"/>
              </w:rPr>
              <w:t>Izvršenje I-VI 2025.</w:t>
            </w:r>
          </w:p>
        </w:tc>
        <w:tc>
          <w:tcPr>
            <w:tcW w:w="48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2CFB2EB2" w14:textId="77777777" w:rsidR="001617F4" w:rsidRPr="001617F4" w:rsidRDefault="001617F4" w:rsidP="001617F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17F4">
              <w:rPr>
                <w:rFonts w:ascii="Calibri" w:eastAsia="Times New Roman" w:hAnsi="Calibri" w:cs="Calibri"/>
                <w:color w:val="000000"/>
                <w:lang w:eastAsia="hr-HR"/>
              </w:rPr>
              <w:t>Indeks (4/2*100)</w:t>
            </w:r>
          </w:p>
        </w:tc>
        <w:tc>
          <w:tcPr>
            <w:tcW w:w="46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3B3B23C7" w14:textId="77777777" w:rsidR="001617F4" w:rsidRPr="001617F4" w:rsidRDefault="001617F4" w:rsidP="001617F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17F4">
              <w:rPr>
                <w:rFonts w:ascii="Calibri" w:eastAsia="Times New Roman" w:hAnsi="Calibri" w:cs="Calibri"/>
                <w:color w:val="000000"/>
                <w:lang w:eastAsia="hr-HR"/>
              </w:rPr>
              <w:t>Indeks (4/3*100)</w:t>
            </w:r>
          </w:p>
        </w:tc>
      </w:tr>
      <w:tr w:rsidR="001617F4" w:rsidRPr="001617F4" w14:paraId="6CBDC078" w14:textId="77777777" w:rsidTr="001617F4">
        <w:trPr>
          <w:trHeight w:val="227"/>
        </w:trPr>
        <w:tc>
          <w:tcPr>
            <w:tcW w:w="250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7E6E6"/>
            <w:noWrap/>
            <w:vAlign w:val="center"/>
            <w:hideMark/>
          </w:tcPr>
          <w:p w14:paraId="157CCB3E" w14:textId="77777777" w:rsidR="001617F4" w:rsidRPr="001617F4" w:rsidRDefault="001617F4" w:rsidP="001617F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17F4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vAlign w:val="center"/>
            <w:hideMark/>
          </w:tcPr>
          <w:p w14:paraId="6F8DCF34" w14:textId="77777777" w:rsidR="001617F4" w:rsidRPr="001617F4" w:rsidRDefault="001617F4" w:rsidP="001617F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17F4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vAlign w:val="center"/>
            <w:hideMark/>
          </w:tcPr>
          <w:p w14:paraId="2E52FB3F" w14:textId="77777777" w:rsidR="001617F4" w:rsidRPr="001617F4" w:rsidRDefault="001617F4" w:rsidP="001617F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17F4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vAlign w:val="center"/>
            <w:hideMark/>
          </w:tcPr>
          <w:p w14:paraId="407D7561" w14:textId="77777777" w:rsidR="001617F4" w:rsidRPr="001617F4" w:rsidRDefault="001617F4" w:rsidP="001617F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17F4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vAlign w:val="center"/>
            <w:hideMark/>
          </w:tcPr>
          <w:p w14:paraId="280CEDBF" w14:textId="77777777" w:rsidR="001617F4" w:rsidRPr="001617F4" w:rsidRDefault="001617F4" w:rsidP="001617F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17F4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13097442" w14:textId="77777777" w:rsidR="001617F4" w:rsidRPr="001617F4" w:rsidRDefault="001617F4" w:rsidP="001617F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17F4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</w:tr>
      <w:tr w:rsidR="001617F4" w:rsidRPr="001617F4" w14:paraId="6BD32714" w14:textId="77777777" w:rsidTr="001617F4">
        <w:trPr>
          <w:trHeight w:val="227"/>
        </w:trPr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68DBA26" w14:textId="77777777" w:rsidR="001617F4" w:rsidRPr="001617F4" w:rsidRDefault="001617F4" w:rsidP="001617F4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617F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64</w:t>
            </w:r>
          </w:p>
        </w:tc>
        <w:tc>
          <w:tcPr>
            <w:tcW w:w="22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62B15B4" w14:textId="77777777" w:rsidR="001617F4" w:rsidRPr="001617F4" w:rsidRDefault="001617F4" w:rsidP="001617F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617F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Prihodi od imovine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DEC6251" w14:textId="77777777" w:rsidR="001617F4" w:rsidRPr="001617F4" w:rsidRDefault="001617F4" w:rsidP="001617F4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617F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12.016,84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084CC03" w14:textId="77777777" w:rsidR="001617F4" w:rsidRPr="001617F4" w:rsidRDefault="001617F4" w:rsidP="001617F4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617F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59.900,00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1938268" w14:textId="77777777" w:rsidR="001617F4" w:rsidRPr="001617F4" w:rsidRDefault="001617F4" w:rsidP="001617F4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617F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9.867,38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2FE983E" w14:textId="77777777" w:rsidR="001617F4" w:rsidRPr="001617F4" w:rsidRDefault="001617F4" w:rsidP="001617F4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617F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82,11%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C23286F" w14:textId="77777777" w:rsidR="001617F4" w:rsidRPr="001617F4" w:rsidRDefault="001617F4" w:rsidP="001617F4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617F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16,47%</w:t>
            </w:r>
          </w:p>
        </w:tc>
      </w:tr>
      <w:tr w:rsidR="001617F4" w:rsidRPr="001617F4" w14:paraId="3A673F1D" w14:textId="77777777" w:rsidTr="001617F4">
        <w:trPr>
          <w:trHeight w:val="227"/>
        </w:trPr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E8F2BAB" w14:textId="77777777" w:rsidR="001617F4" w:rsidRPr="001617F4" w:rsidRDefault="001617F4" w:rsidP="001617F4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17F4">
              <w:rPr>
                <w:rFonts w:ascii="Calibri" w:eastAsia="Times New Roman" w:hAnsi="Calibri" w:cs="Calibri"/>
                <w:color w:val="000000"/>
                <w:lang w:eastAsia="hr-HR"/>
              </w:rPr>
              <w:t>641</w:t>
            </w:r>
          </w:p>
        </w:tc>
        <w:tc>
          <w:tcPr>
            <w:tcW w:w="22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758B0D45" w14:textId="77777777" w:rsidR="001617F4" w:rsidRPr="001617F4" w:rsidRDefault="001617F4" w:rsidP="001617F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17F4">
              <w:rPr>
                <w:rFonts w:ascii="Calibri" w:eastAsia="Times New Roman" w:hAnsi="Calibri" w:cs="Calibri"/>
                <w:color w:val="000000"/>
                <w:lang w:eastAsia="hr-HR"/>
              </w:rPr>
              <w:t>Prihodi od financijske imovine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288FB36" w14:textId="77777777" w:rsidR="001617F4" w:rsidRPr="001617F4" w:rsidRDefault="001617F4" w:rsidP="001617F4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17F4">
              <w:rPr>
                <w:rFonts w:ascii="Calibri" w:eastAsia="Times New Roman" w:hAnsi="Calibri" w:cs="Calibri"/>
                <w:color w:val="000000"/>
                <w:lang w:eastAsia="hr-HR"/>
              </w:rPr>
              <w:t>6,11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C1A3D3B" w14:textId="77777777" w:rsidR="001617F4" w:rsidRPr="001617F4" w:rsidRDefault="001617F4" w:rsidP="001617F4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17F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5ABC896" w14:textId="77777777" w:rsidR="001617F4" w:rsidRPr="001617F4" w:rsidRDefault="001617F4" w:rsidP="001617F4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17F4">
              <w:rPr>
                <w:rFonts w:ascii="Calibri" w:eastAsia="Times New Roman" w:hAnsi="Calibri" w:cs="Calibri"/>
                <w:color w:val="000000"/>
                <w:lang w:eastAsia="hr-HR"/>
              </w:rPr>
              <w:t>3.850,23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A3B1FA0" w14:textId="77777777" w:rsidR="001617F4" w:rsidRPr="001617F4" w:rsidRDefault="001617F4" w:rsidP="001617F4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17F4">
              <w:rPr>
                <w:rFonts w:ascii="Calibri" w:eastAsia="Times New Roman" w:hAnsi="Calibri" w:cs="Calibri"/>
                <w:color w:val="000000"/>
                <w:lang w:eastAsia="hr-HR"/>
              </w:rPr>
              <w:t>63015,22%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938FDA4" w14:textId="77777777" w:rsidR="001617F4" w:rsidRPr="001617F4" w:rsidRDefault="001617F4" w:rsidP="001617F4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17F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1617F4" w:rsidRPr="001617F4" w14:paraId="414A3AAB" w14:textId="77777777" w:rsidTr="001617F4">
        <w:trPr>
          <w:trHeight w:val="227"/>
        </w:trPr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5ED20C4" w14:textId="77777777" w:rsidR="001617F4" w:rsidRPr="001617F4" w:rsidRDefault="001617F4" w:rsidP="001617F4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17F4">
              <w:rPr>
                <w:rFonts w:ascii="Calibri" w:eastAsia="Times New Roman" w:hAnsi="Calibri" w:cs="Calibri"/>
                <w:color w:val="000000"/>
                <w:lang w:eastAsia="hr-HR"/>
              </w:rPr>
              <w:t>6413</w:t>
            </w:r>
          </w:p>
        </w:tc>
        <w:tc>
          <w:tcPr>
            <w:tcW w:w="22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150EC1E4" w14:textId="77777777" w:rsidR="001617F4" w:rsidRPr="001617F4" w:rsidRDefault="001617F4" w:rsidP="001617F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17F4">
              <w:rPr>
                <w:rFonts w:ascii="Calibri" w:eastAsia="Times New Roman" w:hAnsi="Calibri" w:cs="Calibri"/>
                <w:color w:val="000000"/>
                <w:lang w:eastAsia="hr-HR"/>
              </w:rPr>
              <w:t>Kamate na oročena sredstva i depozite po viđenju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23114A0" w14:textId="77777777" w:rsidR="001617F4" w:rsidRPr="001617F4" w:rsidRDefault="001617F4" w:rsidP="001617F4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17F4">
              <w:rPr>
                <w:rFonts w:ascii="Calibri" w:eastAsia="Times New Roman" w:hAnsi="Calibri" w:cs="Calibri"/>
                <w:color w:val="000000"/>
                <w:lang w:eastAsia="hr-HR"/>
              </w:rPr>
              <w:t>6,11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FF1454B" w14:textId="77777777" w:rsidR="001617F4" w:rsidRPr="001617F4" w:rsidRDefault="001617F4" w:rsidP="001617F4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17F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5FC4229" w14:textId="77777777" w:rsidR="001617F4" w:rsidRPr="001617F4" w:rsidRDefault="001617F4" w:rsidP="001617F4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17F4">
              <w:rPr>
                <w:rFonts w:ascii="Calibri" w:eastAsia="Times New Roman" w:hAnsi="Calibri" w:cs="Calibri"/>
                <w:color w:val="000000"/>
                <w:lang w:eastAsia="hr-HR"/>
              </w:rPr>
              <w:t>2,34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982F8A8" w14:textId="77777777" w:rsidR="001617F4" w:rsidRPr="001617F4" w:rsidRDefault="001617F4" w:rsidP="001617F4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17F4">
              <w:rPr>
                <w:rFonts w:ascii="Calibri" w:eastAsia="Times New Roman" w:hAnsi="Calibri" w:cs="Calibri"/>
                <w:color w:val="000000"/>
                <w:lang w:eastAsia="hr-HR"/>
              </w:rPr>
              <w:t>38,30%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08A3619" w14:textId="77777777" w:rsidR="001617F4" w:rsidRPr="001617F4" w:rsidRDefault="001617F4" w:rsidP="001617F4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17F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1617F4" w:rsidRPr="001617F4" w14:paraId="0A3F50E4" w14:textId="77777777" w:rsidTr="001617F4">
        <w:trPr>
          <w:trHeight w:val="227"/>
        </w:trPr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7B986F0" w14:textId="77777777" w:rsidR="001617F4" w:rsidRPr="001617F4" w:rsidRDefault="001617F4" w:rsidP="001617F4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17F4">
              <w:rPr>
                <w:rFonts w:ascii="Calibri" w:eastAsia="Times New Roman" w:hAnsi="Calibri" w:cs="Calibri"/>
                <w:color w:val="000000"/>
                <w:lang w:eastAsia="hr-HR"/>
              </w:rPr>
              <w:t>6414</w:t>
            </w:r>
          </w:p>
        </w:tc>
        <w:tc>
          <w:tcPr>
            <w:tcW w:w="22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037A96B5" w14:textId="77777777" w:rsidR="001617F4" w:rsidRPr="001617F4" w:rsidRDefault="001617F4" w:rsidP="001617F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17F4">
              <w:rPr>
                <w:rFonts w:ascii="Calibri" w:eastAsia="Times New Roman" w:hAnsi="Calibri" w:cs="Calibri"/>
                <w:color w:val="000000"/>
                <w:lang w:eastAsia="hr-HR"/>
              </w:rPr>
              <w:t>Prihodi od zateznih kamata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0F4585A" w14:textId="77777777" w:rsidR="001617F4" w:rsidRPr="001617F4" w:rsidRDefault="001617F4" w:rsidP="001617F4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17F4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8EE29D3" w14:textId="77777777" w:rsidR="001617F4" w:rsidRPr="001617F4" w:rsidRDefault="001617F4" w:rsidP="001617F4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17F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3C72ED0" w14:textId="77777777" w:rsidR="001617F4" w:rsidRPr="001617F4" w:rsidRDefault="001617F4" w:rsidP="001617F4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17F4">
              <w:rPr>
                <w:rFonts w:ascii="Calibri" w:eastAsia="Times New Roman" w:hAnsi="Calibri" w:cs="Calibri"/>
                <w:color w:val="000000"/>
                <w:lang w:eastAsia="hr-HR"/>
              </w:rPr>
              <w:t>3.847,89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B5BAD03" w14:textId="77777777" w:rsidR="001617F4" w:rsidRPr="001617F4" w:rsidRDefault="001617F4" w:rsidP="001617F4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17F4">
              <w:rPr>
                <w:rFonts w:ascii="Calibri" w:eastAsia="Times New Roman" w:hAnsi="Calibri" w:cs="Calibri"/>
                <w:color w:val="000000"/>
                <w:lang w:eastAsia="hr-HR"/>
              </w:rPr>
              <w:t>0,00%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70948ED" w14:textId="77777777" w:rsidR="001617F4" w:rsidRPr="001617F4" w:rsidRDefault="001617F4" w:rsidP="001617F4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17F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1617F4" w:rsidRPr="001617F4" w14:paraId="1511CB49" w14:textId="77777777" w:rsidTr="001617F4">
        <w:trPr>
          <w:trHeight w:val="227"/>
        </w:trPr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A0EF56C" w14:textId="77777777" w:rsidR="001617F4" w:rsidRPr="001617F4" w:rsidRDefault="001617F4" w:rsidP="001617F4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17F4">
              <w:rPr>
                <w:rFonts w:ascii="Calibri" w:eastAsia="Times New Roman" w:hAnsi="Calibri" w:cs="Calibri"/>
                <w:color w:val="000000"/>
                <w:lang w:eastAsia="hr-HR"/>
              </w:rPr>
              <w:t>642</w:t>
            </w:r>
          </w:p>
        </w:tc>
        <w:tc>
          <w:tcPr>
            <w:tcW w:w="22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6AEA0BB8" w14:textId="77777777" w:rsidR="001617F4" w:rsidRPr="001617F4" w:rsidRDefault="001617F4" w:rsidP="001617F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17F4">
              <w:rPr>
                <w:rFonts w:ascii="Calibri" w:eastAsia="Times New Roman" w:hAnsi="Calibri" w:cs="Calibri"/>
                <w:color w:val="000000"/>
                <w:lang w:eastAsia="hr-HR"/>
              </w:rPr>
              <w:t>Prihodi od nefinancijske imovine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FD089BB" w14:textId="77777777" w:rsidR="001617F4" w:rsidRPr="001617F4" w:rsidRDefault="001617F4" w:rsidP="001617F4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17F4">
              <w:rPr>
                <w:rFonts w:ascii="Calibri" w:eastAsia="Times New Roman" w:hAnsi="Calibri" w:cs="Calibri"/>
                <w:color w:val="000000"/>
                <w:lang w:eastAsia="hr-HR"/>
              </w:rPr>
              <w:t>12.010,73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E409662" w14:textId="77777777" w:rsidR="001617F4" w:rsidRPr="001617F4" w:rsidRDefault="001617F4" w:rsidP="001617F4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17F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ED62A6F" w14:textId="77777777" w:rsidR="001617F4" w:rsidRPr="001617F4" w:rsidRDefault="001617F4" w:rsidP="001617F4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17F4">
              <w:rPr>
                <w:rFonts w:ascii="Calibri" w:eastAsia="Times New Roman" w:hAnsi="Calibri" w:cs="Calibri"/>
                <w:color w:val="000000"/>
                <w:lang w:eastAsia="hr-HR"/>
              </w:rPr>
              <w:t>6.017,15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926AF7A" w14:textId="77777777" w:rsidR="001617F4" w:rsidRPr="001617F4" w:rsidRDefault="001617F4" w:rsidP="001617F4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17F4">
              <w:rPr>
                <w:rFonts w:ascii="Calibri" w:eastAsia="Times New Roman" w:hAnsi="Calibri" w:cs="Calibri"/>
                <w:color w:val="000000"/>
                <w:lang w:eastAsia="hr-HR"/>
              </w:rPr>
              <w:t>50,10%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C26BC48" w14:textId="77777777" w:rsidR="001617F4" w:rsidRPr="001617F4" w:rsidRDefault="001617F4" w:rsidP="001617F4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17F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1617F4" w:rsidRPr="001617F4" w14:paraId="7FA902DB" w14:textId="77777777" w:rsidTr="001617F4">
        <w:trPr>
          <w:trHeight w:val="227"/>
        </w:trPr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6B05AAD" w14:textId="77777777" w:rsidR="001617F4" w:rsidRPr="001617F4" w:rsidRDefault="001617F4" w:rsidP="001617F4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17F4">
              <w:rPr>
                <w:rFonts w:ascii="Calibri" w:eastAsia="Times New Roman" w:hAnsi="Calibri" w:cs="Calibri"/>
                <w:color w:val="000000"/>
                <w:lang w:eastAsia="hr-HR"/>
              </w:rPr>
              <w:t>6422</w:t>
            </w:r>
          </w:p>
        </w:tc>
        <w:tc>
          <w:tcPr>
            <w:tcW w:w="22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169390AB" w14:textId="77777777" w:rsidR="001617F4" w:rsidRPr="001617F4" w:rsidRDefault="001617F4" w:rsidP="001617F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17F4">
              <w:rPr>
                <w:rFonts w:ascii="Calibri" w:eastAsia="Times New Roman" w:hAnsi="Calibri" w:cs="Calibri"/>
                <w:color w:val="000000"/>
                <w:lang w:eastAsia="hr-HR"/>
              </w:rPr>
              <w:t>Prihodi od zakupa i iznajmljivanja imovine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621A03A" w14:textId="77777777" w:rsidR="001617F4" w:rsidRPr="001617F4" w:rsidRDefault="001617F4" w:rsidP="001617F4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17F4">
              <w:rPr>
                <w:rFonts w:ascii="Calibri" w:eastAsia="Times New Roman" w:hAnsi="Calibri" w:cs="Calibri"/>
                <w:color w:val="000000"/>
                <w:lang w:eastAsia="hr-HR"/>
              </w:rPr>
              <w:t>11.906,15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30C9C13" w14:textId="77777777" w:rsidR="001617F4" w:rsidRPr="001617F4" w:rsidRDefault="001617F4" w:rsidP="001617F4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17F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5CC57EC" w14:textId="77777777" w:rsidR="001617F4" w:rsidRPr="001617F4" w:rsidRDefault="001617F4" w:rsidP="001617F4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17F4">
              <w:rPr>
                <w:rFonts w:ascii="Calibri" w:eastAsia="Times New Roman" w:hAnsi="Calibri" w:cs="Calibri"/>
                <w:color w:val="000000"/>
                <w:lang w:eastAsia="hr-HR"/>
              </w:rPr>
              <w:t>5.997,25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B55DC77" w14:textId="77777777" w:rsidR="001617F4" w:rsidRPr="001617F4" w:rsidRDefault="001617F4" w:rsidP="001617F4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17F4">
              <w:rPr>
                <w:rFonts w:ascii="Calibri" w:eastAsia="Times New Roman" w:hAnsi="Calibri" w:cs="Calibri"/>
                <w:color w:val="000000"/>
                <w:lang w:eastAsia="hr-HR"/>
              </w:rPr>
              <w:t>50,37%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7F79201" w14:textId="77777777" w:rsidR="001617F4" w:rsidRPr="001617F4" w:rsidRDefault="001617F4" w:rsidP="001617F4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17F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1617F4" w:rsidRPr="001617F4" w14:paraId="5FC66724" w14:textId="77777777" w:rsidTr="001617F4">
        <w:trPr>
          <w:trHeight w:val="227"/>
        </w:trPr>
        <w:tc>
          <w:tcPr>
            <w:tcW w:w="267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1DF8B3D" w14:textId="77777777" w:rsidR="001617F4" w:rsidRPr="001617F4" w:rsidRDefault="001617F4" w:rsidP="001617F4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17F4">
              <w:rPr>
                <w:rFonts w:ascii="Calibri" w:eastAsia="Times New Roman" w:hAnsi="Calibri" w:cs="Calibri"/>
                <w:color w:val="000000"/>
                <w:lang w:eastAsia="hr-HR"/>
              </w:rPr>
              <w:t>6429</w:t>
            </w:r>
          </w:p>
        </w:tc>
        <w:tc>
          <w:tcPr>
            <w:tcW w:w="22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47ED6A6B" w14:textId="77777777" w:rsidR="001617F4" w:rsidRPr="001617F4" w:rsidRDefault="001617F4" w:rsidP="001617F4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17F4">
              <w:rPr>
                <w:rFonts w:ascii="Calibri" w:eastAsia="Times New Roman" w:hAnsi="Calibri" w:cs="Calibri"/>
                <w:color w:val="000000"/>
                <w:lang w:eastAsia="hr-HR"/>
              </w:rPr>
              <w:t>Ostali prihodi od nefinancijske imovine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A185ABE" w14:textId="77777777" w:rsidR="001617F4" w:rsidRPr="001617F4" w:rsidRDefault="001617F4" w:rsidP="001617F4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17F4">
              <w:rPr>
                <w:rFonts w:ascii="Calibri" w:eastAsia="Times New Roman" w:hAnsi="Calibri" w:cs="Calibri"/>
                <w:color w:val="000000"/>
                <w:lang w:eastAsia="hr-HR"/>
              </w:rPr>
              <w:t>104,58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35E1CFE" w14:textId="77777777" w:rsidR="001617F4" w:rsidRPr="001617F4" w:rsidRDefault="001617F4" w:rsidP="001617F4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17F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C8AFA64" w14:textId="77777777" w:rsidR="001617F4" w:rsidRPr="001617F4" w:rsidRDefault="001617F4" w:rsidP="001617F4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17F4">
              <w:rPr>
                <w:rFonts w:ascii="Calibri" w:eastAsia="Times New Roman" w:hAnsi="Calibri" w:cs="Calibri"/>
                <w:color w:val="000000"/>
                <w:lang w:eastAsia="hr-HR"/>
              </w:rPr>
              <w:t>19,90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AB4980F" w14:textId="77777777" w:rsidR="001617F4" w:rsidRPr="001617F4" w:rsidRDefault="001617F4" w:rsidP="001617F4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17F4">
              <w:rPr>
                <w:rFonts w:ascii="Calibri" w:eastAsia="Times New Roman" w:hAnsi="Calibri" w:cs="Calibri"/>
                <w:color w:val="000000"/>
                <w:lang w:eastAsia="hr-HR"/>
              </w:rPr>
              <w:t>19,03%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D3A471A" w14:textId="77777777" w:rsidR="001617F4" w:rsidRPr="001617F4" w:rsidRDefault="001617F4" w:rsidP="001617F4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617F4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</w:tbl>
    <w:p w14:paraId="4D0D4EF7" w14:textId="6FA8F23E" w:rsidR="001617F4" w:rsidRDefault="001617F4" w:rsidP="008C2930">
      <w:pPr>
        <w:spacing w:before="120" w:after="120" w:line="24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lastRenderedPageBreak/>
        <w:t xml:space="preserve">Prihodi od financijske imovine ostvareni su u iznosu od </w:t>
      </w:r>
      <w:r w:rsidRPr="001617F4">
        <w:rPr>
          <w:rFonts w:cstheme="minorHAnsi"/>
          <w:sz w:val="22"/>
          <w:szCs w:val="22"/>
        </w:rPr>
        <w:t>3.850,23</w:t>
      </w:r>
      <w:r>
        <w:rPr>
          <w:rFonts w:cstheme="minorHAnsi"/>
          <w:sz w:val="22"/>
          <w:szCs w:val="22"/>
        </w:rPr>
        <w:t xml:space="preserve"> eura, a odnose se gotovo u potpunosti na prihode od zateznih kamata.</w:t>
      </w:r>
    </w:p>
    <w:p w14:paraId="13E309B3" w14:textId="447420F3" w:rsidR="008C2930" w:rsidRPr="008C2930" w:rsidRDefault="001617F4" w:rsidP="00DF1A5F">
      <w:pPr>
        <w:spacing w:before="120" w:after="120" w:line="24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</w:t>
      </w:r>
      <w:r w:rsidR="00C77235" w:rsidRPr="00000576">
        <w:rPr>
          <w:rFonts w:cstheme="minorHAnsi"/>
          <w:sz w:val="22"/>
          <w:szCs w:val="22"/>
        </w:rPr>
        <w:t>rihod</w:t>
      </w:r>
      <w:r>
        <w:rPr>
          <w:rFonts w:cstheme="minorHAnsi"/>
          <w:sz w:val="22"/>
          <w:szCs w:val="22"/>
        </w:rPr>
        <w:t>i</w:t>
      </w:r>
      <w:r w:rsidR="00C77235" w:rsidRPr="00000576">
        <w:rPr>
          <w:rFonts w:cstheme="minorHAnsi"/>
          <w:sz w:val="22"/>
          <w:szCs w:val="22"/>
        </w:rPr>
        <w:t xml:space="preserve"> od </w:t>
      </w:r>
      <w:r w:rsidR="00DF1A5F">
        <w:rPr>
          <w:rFonts w:cstheme="minorHAnsi"/>
          <w:sz w:val="22"/>
          <w:szCs w:val="22"/>
        </w:rPr>
        <w:t xml:space="preserve">nefinancijske imovine odnose se uglavnom na prihod od </w:t>
      </w:r>
      <w:r w:rsidR="00C77235" w:rsidRPr="00000576">
        <w:rPr>
          <w:rFonts w:cstheme="minorHAnsi"/>
          <w:sz w:val="22"/>
          <w:szCs w:val="22"/>
        </w:rPr>
        <w:t xml:space="preserve">zakupa </w:t>
      </w:r>
      <w:r w:rsidR="00DF1A5F">
        <w:rPr>
          <w:rFonts w:cstheme="minorHAnsi"/>
          <w:sz w:val="22"/>
          <w:szCs w:val="22"/>
        </w:rPr>
        <w:t xml:space="preserve">poljoprivrednog zemljišta, a </w:t>
      </w:r>
      <w:r>
        <w:rPr>
          <w:rFonts w:cstheme="minorHAnsi"/>
          <w:sz w:val="22"/>
          <w:szCs w:val="22"/>
        </w:rPr>
        <w:t>smanjeni</w:t>
      </w:r>
      <w:r w:rsidR="00DF1A5F">
        <w:rPr>
          <w:rFonts w:cstheme="minorHAnsi"/>
          <w:sz w:val="22"/>
          <w:szCs w:val="22"/>
        </w:rPr>
        <w:t xml:space="preserve"> su</w:t>
      </w:r>
      <w:r>
        <w:rPr>
          <w:rFonts w:cstheme="minorHAnsi"/>
          <w:sz w:val="22"/>
          <w:szCs w:val="22"/>
        </w:rPr>
        <w:t xml:space="preserve"> u</w:t>
      </w:r>
      <w:r w:rsidR="00DF1A5F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odnosu na prethodnu godinu</w:t>
      </w:r>
      <w:r w:rsidR="00DF1A5F">
        <w:rPr>
          <w:rFonts w:cstheme="minorHAnsi"/>
          <w:sz w:val="22"/>
          <w:szCs w:val="22"/>
        </w:rPr>
        <w:t xml:space="preserve"> za 49</w:t>
      </w:r>
      <w:r w:rsidR="008C2930" w:rsidRPr="008C2930">
        <w:rPr>
          <w:rFonts w:cstheme="minorHAnsi"/>
          <w:sz w:val="22"/>
          <w:szCs w:val="22"/>
        </w:rPr>
        <w:t>,</w:t>
      </w:r>
      <w:r w:rsidR="00DF1A5F">
        <w:rPr>
          <w:rFonts w:cstheme="minorHAnsi"/>
          <w:sz w:val="22"/>
          <w:szCs w:val="22"/>
        </w:rPr>
        <w:t>90% zbog kašnjenja u plaćanju naknade</w:t>
      </w:r>
      <w:r w:rsidR="00C77235">
        <w:rPr>
          <w:rFonts w:cstheme="minorHAnsi"/>
          <w:sz w:val="22"/>
          <w:szCs w:val="22"/>
        </w:rPr>
        <w:t>.</w:t>
      </w:r>
    </w:p>
    <w:p w14:paraId="34352169" w14:textId="77777777" w:rsidR="00E671D0" w:rsidRPr="00000576" w:rsidRDefault="00E671D0" w:rsidP="00DD520A">
      <w:pPr>
        <w:spacing w:before="120" w:after="120" w:line="240" w:lineRule="auto"/>
        <w:jc w:val="both"/>
        <w:rPr>
          <w:rFonts w:cstheme="minorHAnsi"/>
          <w:sz w:val="22"/>
          <w:szCs w:val="22"/>
        </w:rPr>
      </w:pPr>
    </w:p>
    <w:p w14:paraId="65167258" w14:textId="33690A03" w:rsidR="0027166B" w:rsidRPr="0045314E" w:rsidRDefault="0045314E" w:rsidP="00165728">
      <w:pPr>
        <w:pStyle w:val="Naslov3"/>
        <w:numPr>
          <w:ilvl w:val="2"/>
          <w:numId w:val="4"/>
        </w:numPr>
        <w:spacing w:before="0" w:after="120"/>
        <w:ind w:left="504"/>
        <w:rPr>
          <w:b/>
          <w:sz w:val="22"/>
        </w:rPr>
      </w:pPr>
      <w:bookmarkStart w:id="13" w:name="_Toc209436496"/>
      <w:r w:rsidRPr="0045314E">
        <w:rPr>
          <w:b/>
          <w:caps w:val="0"/>
          <w:sz w:val="22"/>
        </w:rPr>
        <w:t>Prihodi od upravnih i administrativnih pristojbi, pristojbi posebnim propisima i naknadama</w:t>
      </w:r>
      <w:bookmarkEnd w:id="13"/>
      <w:r w:rsidRPr="0045314E">
        <w:rPr>
          <w:b/>
          <w:caps w:val="0"/>
          <w:sz w:val="22"/>
        </w:rPr>
        <w:t xml:space="preserve"> </w:t>
      </w:r>
    </w:p>
    <w:p w14:paraId="292D97A0" w14:textId="5DAB1D3E" w:rsidR="0027166B" w:rsidRDefault="0027166B" w:rsidP="00000576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000576">
        <w:rPr>
          <w:rFonts w:cstheme="minorHAnsi"/>
          <w:sz w:val="22"/>
          <w:szCs w:val="22"/>
        </w:rPr>
        <w:t>P</w:t>
      </w:r>
      <w:r w:rsidR="00735F4B" w:rsidRPr="00000576">
        <w:rPr>
          <w:rFonts w:cstheme="minorHAnsi"/>
          <w:sz w:val="22"/>
          <w:szCs w:val="22"/>
        </w:rPr>
        <w:t>rihodi od upravnih i administrativnih pristojbi, pristojbi posebnim propisima i naknadama</w:t>
      </w:r>
      <w:r w:rsidRPr="00000576">
        <w:rPr>
          <w:rFonts w:cstheme="minorHAnsi"/>
          <w:sz w:val="22"/>
          <w:szCs w:val="22"/>
        </w:rPr>
        <w:t xml:space="preserve"> su iznos</w:t>
      </w:r>
      <w:r w:rsidR="00735F4B" w:rsidRPr="00000576">
        <w:rPr>
          <w:rFonts w:cstheme="minorHAnsi"/>
          <w:sz w:val="22"/>
          <w:szCs w:val="22"/>
        </w:rPr>
        <w:t>ili</w:t>
      </w:r>
      <w:r w:rsidRPr="00000576">
        <w:rPr>
          <w:rFonts w:cstheme="minorHAnsi"/>
          <w:sz w:val="22"/>
          <w:szCs w:val="22"/>
        </w:rPr>
        <w:t xml:space="preserve"> </w:t>
      </w:r>
      <w:r w:rsidR="00804B8F" w:rsidRPr="00804B8F">
        <w:rPr>
          <w:rFonts w:cstheme="minorHAnsi"/>
          <w:sz w:val="22"/>
          <w:szCs w:val="22"/>
        </w:rPr>
        <w:t>29.838,38</w:t>
      </w:r>
      <w:r w:rsidR="00C80A30">
        <w:rPr>
          <w:rFonts w:cstheme="minorHAnsi"/>
          <w:sz w:val="22"/>
          <w:szCs w:val="22"/>
        </w:rPr>
        <w:t xml:space="preserve"> eura</w:t>
      </w:r>
      <w:r w:rsidRPr="00000576">
        <w:rPr>
          <w:rFonts w:cstheme="minorHAnsi"/>
          <w:sz w:val="22"/>
          <w:szCs w:val="22"/>
        </w:rPr>
        <w:t xml:space="preserve">, što predstavlja </w:t>
      </w:r>
      <w:r w:rsidR="00C80A30">
        <w:rPr>
          <w:rFonts w:cstheme="minorHAnsi"/>
          <w:sz w:val="22"/>
          <w:szCs w:val="22"/>
        </w:rPr>
        <w:t>smanjenje</w:t>
      </w:r>
      <w:r w:rsidRPr="00000576">
        <w:rPr>
          <w:rFonts w:cstheme="minorHAnsi"/>
          <w:sz w:val="22"/>
          <w:szCs w:val="22"/>
        </w:rPr>
        <w:t xml:space="preserve"> u odnosu na </w:t>
      </w:r>
      <w:r w:rsidR="00C80A30">
        <w:rPr>
          <w:rFonts w:cstheme="minorHAnsi"/>
          <w:sz w:val="22"/>
          <w:szCs w:val="22"/>
        </w:rPr>
        <w:t xml:space="preserve">isto razdoblje </w:t>
      </w:r>
      <w:r w:rsidRPr="00000576">
        <w:rPr>
          <w:rFonts w:cstheme="minorHAnsi"/>
          <w:sz w:val="22"/>
          <w:szCs w:val="22"/>
        </w:rPr>
        <w:t>20</w:t>
      </w:r>
      <w:r w:rsidR="008E2D5F">
        <w:rPr>
          <w:rFonts w:cstheme="minorHAnsi"/>
          <w:sz w:val="22"/>
          <w:szCs w:val="22"/>
        </w:rPr>
        <w:t>2</w:t>
      </w:r>
      <w:r w:rsidR="00804B8F">
        <w:rPr>
          <w:rFonts w:cstheme="minorHAnsi"/>
          <w:sz w:val="22"/>
          <w:szCs w:val="22"/>
        </w:rPr>
        <w:t>4</w:t>
      </w:r>
      <w:r w:rsidRPr="00000576">
        <w:rPr>
          <w:rFonts w:cstheme="minorHAnsi"/>
          <w:sz w:val="22"/>
          <w:szCs w:val="22"/>
        </w:rPr>
        <w:t>. godin</w:t>
      </w:r>
      <w:r w:rsidR="00C80A30">
        <w:rPr>
          <w:rFonts w:cstheme="minorHAnsi"/>
          <w:sz w:val="22"/>
          <w:szCs w:val="22"/>
        </w:rPr>
        <w:t>e</w:t>
      </w:r>
      <w:r w:rsidRPr="00000576">
        <w:rPr>
          <w:rFonts w:cstheme="minorHAnsi"/>
          <w:sz w:val="22"/>
          <w:szCs w:val="22"/>
        </w:rPr>
        <w:t xml:space="preserve"> od </w:t>
      </w:r>
      <w:r w:rsidR="00804B8F">
        <w:rPr>
          <w:rFonts w:cstheme="minorHAnsi"/>
          <w:sz w:val="22"/>
          <w:szCs w:val="22"/>
        </w:rPr>
        <w:t>22,00</w:t>
      </w:r>
      <w:r w:rsidRPr="00000576">
        <w:rPr>
          <w:rFonts w:cstheme="minorHAnsi"/>
          <w:sz w:val="22"/>
          <w:szCs w:val="22"/>
        </w:rPr>
        <w:t>%</w:t>
      </w:r>
      <w:r w:rsidR="00F11CC6" w:rsidRPr="00000576">
        <w:rPr>
          <w:rFonts w:cstheme="minorHAnsi"/>
          <w:sz w:val="22"/>
          <w:szCs w:val="22"/>
        </w:rPr>
        <w:t xml:space="preserve">, a ostvareno je </w:t>
      </w:r>
      <w:r w:rsidR="000518BD">
        <w:rPr>
          <w:rFonts w:cstheme="minorHAnsi"/>
          <w:sz w:val="22"/>
          <w:szCs w:val="22"/>
        </w:rPr>
        <w:t>2</w:t>
      </w:r>
      <w:r w:rsidR="00804B8F">
        <w:rPr>
          <w:rFonts w:cstheme="minorHAnsi"/>
          <w:sz w:val="22"/>
          <w:szCs w:val="22"/>
        </w:rPr>
        <w:t>5,16</w:t>
      </w:r>
      <w:r w:rsidR="00846A46">
        <w:rPr>
          <w:rFonts w:cstheme="minorHAnsi"/>
          <w:sz w:val="22"/>
          <w:szCs w:val="22"/>
        </w:rPr>
        <w:t>%</w:t>
      </w:r>
      <w:r w:rsidR="00F11CC6" w:rsidRPr="00000576">
        <w:rPr>
          <w:rFonts w:cstheme="minorHAnsi"/>
          <w:sz w:val="22"/>
          <w:szCs w:val="22"/>
        </w:rPr>
        <w:t xml:space="preserve"> Plana za 20</w:t>
      </w:r>
      <w:r w:rsidR="00735F4B" w:rsidRPr="00000576">
        <w:rPr>
          <w:rFonts w:cstheme="minorHAnsi"/>
          <w:sz w:val="22"/>
          <w:szCs w:val="22"/>
        </w:rPr>
        <w:t>2</w:t>
      </w:r>
      <w:r w:rsidR="00804B8F">
        <w:rPr>
          <w:rFonts w:cstheme="minorHAnsi"/>
          <w:sz w:val="22"/>
          <w:szCs w:val="22"/>
        </w:rPr>
        <w:t>5</w:t>
      </w:r>
      <w:r w:rsidR="00F11CC6" w:rsidRPr="00000576">
        <w:rPr>
          <w:rFonts w:cstheme="minorHAnsi"/>
          <w:sz w:val="22"/>
          <w:szCs w:val="22"/>
        </w:rPr>
        <w:t>.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6"/>
        <w:gridCol w:w="4705"/>
        <w:gridCol w:w="1136"/>
        <w:gridCol w:w="1133"/>
        <w:gridCol w:w="993"/>
        <w:gridCol w:w="991"/>
        <w:gridCol w:w="962"/>
      </w:tblGrid>
      <w:tr w:rsidR="00804B8F" w:rsidRPr="00804B8F" w14:paraId="77ACC824" w14:textId="77777777" w:rsidTr="00804B8F">
        <w:trPr>
          <w:trHeight w:val="227"/>
        </w:trPr>
        <w:tc>
          <w:tcPr>
            <w:tcW w:w="2506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3EDDAA0" w14:textId="77777777" w:rsidR="00804B8F" w:rsidRPr="00804B8F" w:rsidRDefault="00804B8F" w:rsidP="00804B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Brojčana oznaka i naziv računa</w:t>
            </w:r>
          </w:p>
        </w:tc>
        <w:tc>
          <w:tcPr>
            <w:tcW w:w="54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626B4E46" w14:textId="77777777" w:rsidR="00804B8F" w:rsidRDefault="00804B8F" w:rsidP="00804B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Izvršenje</w:t>
            </w:r>
          </w:p>
          <w:p w14:paraId="76E8E5BE" w14:textId="6DB8B7AD" w:rsidR="00804B8F" w:rsidRPr="00804B8F" w:rsidRDefault="00804B8F" w:rsidP="00804B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I-VI 2024.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5FC2A983" w14:textId="77777777" w:rsidR="00804B8F" w:rsidRPr="00804B8F" w:rsidRDefault="00804B8F" w:rsidP="00804B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Proračun 2025</w:t>
            </w:r>
          </w:p>
        </w:tc>
        <w:tc>
          <w:tcPr>
            <w:tcW w:w="4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0A020FFF" w14:textId="77777777" w:rsidR="00804B8F" w:rsidRDefault="00804B8F" w:rsidP="00804B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Izvršenje</w:t>
            </w:r>
          </w:p>
          <w:p w14:paraId="49EDF602" w14:textId="1C126D91" w:rsidR="00804B8F" w:rsidRPr="00804B8F" w:rsidRDefault="00804B8F" w:rsidP="00804B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I-VI 2025.</w:t>
            </w:r>
          </w:p>
        </w:tc>
        <w:tc>
          <w:tcPr>
            <w:tcW w:w="47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49038863" w14:textId="77777777" w:rsidR="00804B8F" w:rsidRPr="00804B8F" w:rsidRDefault="00804B8F" w:rsidP="00804B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Indeks (4/2*100)</w:t>
            </w:r>
          </w:p>
        </w:tc>
        <w:tc>
          <w:tcPr>
            <w:tcW w:w="46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279419C1" w14:textId="77777777" w:rsidR="00804B8F" w:rsidRPr="00804B8F" w:rsidRDefault="00804B8F" w:rsidP="00804B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Indeks (4/3*100)</w:t>
            </w:r>
          </w:p>
        </w:tc>
      </w:tr>
      <w:tr w:rsidR="00804B8F" w:rsidRPr="00804B8F" w14:paraId="474FC709" w14:textId="77777777" w:rsidTr="00804B8F">
        <w:trPr>
          <w:trHeight w:val="227"/>
        </w:trPr>
        <w:tc>
          <w:tcPr>
            <w:tcW w:w="250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7E6E6"/>
            <w:noWrap/>
            <w:vAlign w:val="center"/>
            <w:hideMark/>
          </w:tcPr>
          <w:p w14:paraId="3A8714C6" w14:textId="77777777" w:rsidR="00804B8F" w:rsidRPr="00804B8F" w:rsidRDefault="00804B8F" w:rsidP="00804B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vAlign w:val="center"/>
            <w:hideMark/>
          </w:tcPr>
          <w:p w14:paraId="6B34C7F8" w14:textId="77777777" w:rsidR="00804B8F" w:rsidRPr="00804B8F" w:rsidRDefault="00804B8F" w:rsidP="00804B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vAlign w:val="center"/>
            <w:hideMark/>
          </w:tcPr>
          <w:p w14:paraId="62E85F57" w14:textId="77777777" w:rsidR="00804B8F" w:rsidRPr="00804B8F" w:rsidRDefault="00804B8F" w:rsidP="00804B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vAlign w:val="center"/>
            <w:hideMark/>
          </w:tcPr>
          <w:p w14:paraId="079E7C54" w14:textId="77777777" w:rsidR="00804B8F" w:rsidRPr="00804B8F" w:rsidRDefault="00804B8F" w:rsidP="00804B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vAlign w:val="center"/>
            <w:hideMark/>
          </w:tcPr>
          <w:p w14:paraId="66144F52" w14:textId="77777777" w:rsidR="00804B8F" w:rsidRPr="00804B8F" w:rsidRDefault="00804B8F" w:rsidP="00804B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3433EE75" w14:textId="77777777" w:rsidR="00804B8F" w:rsidRPr="00804B8F" w:rsidRDefault="00804B8F" w:rsidP="00804B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</w:tr>
      <w:tr w:rsidR="00804B8F" w:rsidRPr="00804B8F" w14:paraId="76D72282" w14:textId="77777777" w:rsidTr="00804B8F">
        <w:trPr>
          <w:trHeight w:val="227"/>
        </w:trPr>
        <w:tc>
          <w:tcPr>
            <w:tcW w:w="2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A937783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65</w:t>
            </w: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65CD539" w14:textId="77777777" w:rsidR="00804B8F" w:rsidRPr="00804B8F" w:rsidRDefault="00804B8F" w:rsidP="00804B8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26CD67C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38.254,38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46D004D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118.600,00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4B17F17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bookmarkStart w:id="14" w:name="_Hlk208214027"/>
            <w:r w:rsidRPr="00804B8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29.838,38</w:t>
            </w:r>
            <w:bookmarkEnd w:id="14"/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865453B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78,00%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01DEB42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25,16%</w:t>
            </w:r>
          </w:p>
        </w:tc>
      </w:tr>
      <w:tr w:rsidR="00804B8F" w:rsidRPr="00804B8F" w14:paraId="310AF4D0" w14:textId="77777777" w:rsidTr="00804B8F">
        <w:trPr>
          <w:trHeight w:val="227"/>
        </w:trPr>
        <w:tc>
          <w:tcPr>
            <w:tcW w:w="2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653C5C5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651</w:t>
            </w: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46D6E9D0" w14:textId="77777777" w:rsidR="00804B8F" w:rsidRPr="00804B8F" w:rsidRDefault="00804B8F" w:rsidP="00804B8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Upravne i administrativne pristojbe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DD4A2D6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177B027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7AD9BCB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A3E6322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0,00%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66DE585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804B8F" w:rsidRPr="00804B8F" w14:paraId="7A0A062D" w14:textId="77777777" w:rsidTr="00804B8F">
        <w:trPr>
          <w:trHeight w:val="227"/>
        </w:trPr>
        <w:tc>
          <w:tcPr>
            <w:tcW w:w="2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C5E8CB5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6513</w:t>
            </w: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2248B7A0" w14:textId="77777777" w:rsidR="00804B8F" w:rsidRPr="00804B8F" w:rsidRDefault="00804B8F" w:rsidP="00804B8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Ostale upravne pristojbe i naknade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AB92D9F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D1804F5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D82D676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F6A5431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0,00%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D2CC839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804B8F" w:rsidRPr="00804B8F" w14:paraId="1487E89D" w14:textId="77777777" w:rsidTr="00804B8F">
        <w:trPr>
          <w:trHeight w:val="227"/>
        </w:trPr>
        <w:tc>
          <w:tcPr>
            <w:tcW w:w="2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D9BD385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652</w:t>
            </w: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0E0E9A2B" w14:textId="77777777" w:rsidR="00804B8F" w:rsidRPr="00804B8F" w:rsidRDefault="00804B8F" w:rsidP="00804B8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Prihodi po posebnim propisima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13D190B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27.766,42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FF6A863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4A6E5A9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18.945,65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1C55C70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68,23%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B77F893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804B8F" w:rsidRPr="00804B8F" w14:paraId="17D9B08D" w14:textId="77777777" w:rsidTr="00804B8F">
        <w:trPr>
          <w:trHeight w:val="227"/>
        </w:trPr>
        <w:tc>
          <w:tcPr>
            <w:tcW w:w="2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CF384E6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6524</w:t>
            </w: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653E4D26" w14:textId="77777777" w:rsidR="00804B8F" w:rsidRPr="00804B8F" w:rsidRDefault="00804B8F" w:rsidP="00804B8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Doprinosi za šume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2228805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27.155,25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1C8D9CC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1582081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18.255,11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CE3D3F3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67,22%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B46D802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804B8F" w:rsidRPr="00804B8F" w14:paraId="5D41F204" w14:textId="77777777" w:rsidTr="00804B8F">
        <w:trPr>
          <w:trHeight w:val="227"/>
        </w:trPr>
        <w:tc>
          <w:tcPr>
            <w:tcW w:w="2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556D363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6526</w:t>
            </w: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3EF83F5A" w14:textId="77777777" w:rsidR="00804B8F" w:rsidRPr="00804B8F" w:rsidRDefault="00804B8F" w:rsidP="00804B8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Ostali nespomenuti prihodi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4A336FC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611,17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48152D7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053CE28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690,54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A18BC61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112,99%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1FFCC00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804B8F" w:rsidRPr="00804B8F" w14:paraId="623100F3" w14:textId="77777777" w:rsidTr="00804B8F">
        <w:trPr>
          <w:trHeight w:val="227"/>
        </w:trPr>
        <w:tc>
          <w:tcPr>
            <w:tcW w:w="2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5EE715F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653</w:t>
            </w: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67803542" w14:textId="77777777" w:rsidR="00804B8F" w:rsidRPr="00804B8F" w:rsidRDefault="00804B8F" w:rsidP="00804B8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Komunalni doprinosi i naknade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C880675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10.487,96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96C9C68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6B91CD1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10.892,73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693725D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103,86%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1973DF7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804B8F" w:rsidRPr="00804B8F" w14:paraId="5FF5C368" w14:textId="77777777" w:rsidTr="00804B8F">
        <w:trPr>
          <w:trHeight w:val="227"/>
        </w:trPr>
        <w:tc>
          <w:tcPr>
            <w:tcW w:w="2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CFE4A6A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6531</w:t>
            </w: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127979B6" w14:textId="77777777" w:rsidR="00804B8F" w:rsidRPr="00804B8F" w:rsidRDefault="00804B8F" w:rsidP="00804B8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Komunalni doprinosi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93EED3E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E205138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8D8A830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733,75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AB900EB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0,00%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6651C27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804B8F" w:rsidRPr="00804B8F" w14:paraId="7649C6A2" w14:textId="77777777" w:rsidTr="00804B8F">
        <w:trPr>
          <w:trHeight w:val="227"/>
        </w:trPr>
        <w:tc>
          <w:tcPr>
            <w:tcW w:w="25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256524E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6532</w:t>
            </w:r>
          </w:p>
        </w:tc>
        <w:tc>
          <w:tcPr>
            <w:tcW w:w="224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74A07F41" w14:textId="77777777" w:rsidR="00804B8F" w:rsidRPr="00804B8F" w:rsidRDefault="00804B8F" w:rsidP="00804B8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Komunalne naknade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C3EE9CE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10.487,96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49C7428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120E0B9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10.158,98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559E9E9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96,86%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56F34CF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</w:tbl>
    <w:p w14:paraId="520F6E82" w14:textId="7ACC8F95" w:rsidR="00102A00" w:rsidRPr="00000576" w:rsidRDefault="00102A00" w:rsidP="0045314E">
      <w:pPr>
        <w:spacing w:before="120" w:after="120" w:line="240" w:lineRule="auto"/>
        <w:jc w:val="both"/>
        <w:rPr>
          <w:rFonts w:cstheme="minorHAnsi"/>
          <w:sz w:val="22"/>
          <w:szCs w:val="22"/>
        </w:rPr>
      </w:pPr>
      <w:r w:rsidRPr="00000576">
        <w:rPr>
          <w:rFonts w:cstheme="minorHAnsi"/>
          <w:sz w:val="22"/>
          <w:szCs w:val="22"/>
        </w:rPr>
        <w:t xml:space="preserve">Unutar ove stavke najznačajniji prihod je </w:t>
      </w:r>
      <w:r w:rsidR="00450368" w:rsidRPr="00000576">
        <w:rPr>
          <w:rFonts w:cstheme="minorHAnsi"/>
          <w:sz w:val="22"/>
          <w:szCs w:val="22"/>
        </w:rPr>
        <w:t>prihod po posebnim propisima</w:t>
      </w:r>
      <w:r w:rsidR="009B702D" w:rsidRPr="00000576">
        <w:rPr>
          <w:rFonts w:cstheme="minorHAnsi"/>
          <w:sz w:val="22"/>
          <w:szCs w:val="22"/>
        </w:rPr>
        <w:t xml:space="preserve">, </w:t>
      </w:r>
      <w:r w:rsidR="00CF5739">
        <w:rPr>
          <w:rFonts w:cstheme="minorHAnsi"/>
          <w:sz w:val="22"/>
          <w:szCs w:val="22"/>
        </w:rPr>
        <w:t>a</w:t>
      </w:r>
      <w:r w:rsidR="008E2D5F">
        <w:rPr>
          <w:rFonts w:cstheme="minorHAnsi"/>
          <w:sz w:val="22"/>
          <w:szCs w:val="22"/>
        </w:rPr>
        <w:t xml:space="preserve"> </w:t>
      </w:r>
      <w:r w:rsidR="009B702D" w:rsidRPr="00000576">
        <w:rPr>
          <w:rFonts w:cstheme="minorHAnsi"/>
          <w:sz w:val="22"/>
          <w:szCs w:val="22"/>
        </w:rPr>
        <w:t>ostvaren je</w:t>
      </w:r>
      <w:r w:rsidRPr="00000576">
        <w:rPr>
          <w:rFonts w:cstheme="minorHAnsi"/>
          <w:sz w:val="22"/>
          <w:szCs w:val="22"/>
        </w:rPr>
        <w:t xml:space="preserve"> u iznosu od</w:t>
      </w:r>
      <w:r w:rsidR="00450368" w:rsidRPr="00000576">
        <w:rPr>
          <w:rFonts w:cstheme="minorHAnsi"/>
          <w:sz w:val="22"/>
          <w:szCs w:val="22"/>
        </w:rPr>
        <w:t xml:space="preserve"> </w:t>
      </w:r>
      <w:r w:rsidR="00804B8F" w:rsidRPr="00804B8F">
        <w:rPr>
          <w:rFonts w:cstheme="minorHAnsi"/>
          <w:sz w:val="22"/>
          <w:szCs w:val="22"/>
        </w:rPr>
        <w:t>18.945,65</w:t>
      </w:r>
      <w:r w:rsidR="00C80A30">
        <w:rPr>
          <w:rFonts w:cstheme="minorHAnsi"/>
          <w:sz w:val="22"/>
          <w:szCs w:val="22"/>
        </w:rPr>
        <w:t xml:space="preserve"> eura</w:t>
      </w:r>
      <w:r w:rsidRPr="00000576">
        <w:rPr>
          <w:rFonts w:cstheme="minorHAnsi"/>
          <w:sz w:val="22"/>
          <w:szCs w:val="22"/>
        </w:rPr>
        <w:t>,</w:t>
      </w:r>
      <w:r w:rsidR="008E2D5F">
        <w:rPr>
          <w:rFonts w:cstheme="minorHAnsi"/>
          <w:sz w:val="22"/>
          <w:szCs w:val="22"/>
        </w:rPr>
        <w:t xml:space="preserve"> </w:t>
      </w:r>
      <w:r w:rsidR="00CF5739">
        <w:rPr>
          <w:rFonts w:cstheme="minorHAnsi"/>
          <w:sz w:val="22"/>
          <w:szCs w:val="22"/>
        </w:rPr>
        <w:t>te</w:t>
      </w:r>
      <w:r w:rsidR="008E2D5F">
        <w:rPr>
          <w:rFonts w:cstheme="minorHAnsi"/>
          <w:sz w:val="22"/>
          <w:szCs w:val="22"/>
        </w:rPr>
        <w:t xml:space="preserve"> </w:t>
      </w:r>
      <w:r w:rsidR="00CF5739">
        <w:rPr>
          <w:rFonts w:cstheme="minorHAnsi"/>
          <w:sz w:val="22"/>
          <w:szCs w:val="22"/>
        </w:rPr>
        <w:t xml:space="preserve">se </w:t>
      </w:r>
      <w:r w:rsidR="008E2D5F">
        <w:rPr>
          <w:rFonts w:cstheme="minorHAnsi"/>
          <w:sz w:val="22"/>
          <w:szCs w:val="22"/>
        </w:rPr>
        <w:t>gotovo u potpunosti odnosi na prihod od</w:t>
      </w:r>
      <w:r w:rsidR="009B702D" w:rsidRPr="00000576">
        <w:rPr>
          <w:rFonts w:cstheme="minorHAnsi"/>
          <w:sz w:val="22"/>
          <w:szCs w:val="22"/>
        </w:rPr>
        <w:t xml:space="preserve"> </w:t>
      </w:r>
      <w:r w:rsidR="008E2D5F">
        <w:rPr>
          <w:rFonts w:cstheme="minorHAnsi"/>
          <w:sz w:val="22"/>
          <w:szCs w:val="22"/>
        </w:rPr>
        <w:t>doprinosa za šume</w:t>
      </w:r>
      <w:r w:rsidR="000518BD">
        <w:rPr>
          <w:rFonts w:cstheme="minorHAnsi"/>
          <w:sz w:val="22"/>
          <w:szCs w:val="22"/>
        </w:rPr>
        <w:t>.</w:t>
      </w:r>
    </w:p>
    <w:p w14:paraId="20F4CBD3" w14:textId="69436A27" w:rsidR="00A86C0F" w:rsidRDefault="00450368" w:rsidP="00000576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000576">
        <w:rPr>
          <w:rFonts w:cstheme="minorHAnsi"/>
          <w:sz w:val="22"/>
          <w:szCs w:val="22"/>
        </w:rPr>
        <w:t xml:space="preserve">Prihodi </w:t>
      </w:r>
      <w:r w:rsidR="008E2D5F">
        <w:rPr>
          <w:rFonts w:cstheme="minorHAnsi"/>
          <w:sz w:val="22"/>
          <w:szCs w:val="22"/>
        </w:rPr>
        <w:t>od</w:t>
      </w:r>
      <w:r w:rsidRPr="00000576">
        <w:rPr>
          <w:rFonts w:cstheme="minorHAnsi"/>
          <w:sz w:val="22"/>
          <w:szCs w:val="22"/>
        </w:rPr>
        <w:t xml:space="preserve"> komunaln</w:t>
      </w:r>
      <w:r w:rsidR="008E2D5F">
        <w:rPr>
          <w:rFonts w:cstheme="minorHAnsi"/>
          <w:sz w:val="22"/>
          <w:szCs w:val="22"/>
        </w:rPr>
        <w:t>og</w:t>
      </w:r>
      <w:r w:rsidRPr="00000576">
        <w:rPr>
          <w:rFonts w:cstheme="minorHAnsi"/>
          <w:sz w:val="22"/>
          <w:szCs w:val="22"/>
        </w:rPr>
        <w:t xml:space="preserve"> doprinos</w:t>
      </w:r>
      <w:r w:rsidR="008E2D5F">
        <w:rPr>
          <w:rFonts w:cstheme="minorHAnsi"/>
          <w:sz w:val="22"/>
          <w:szCs w:val="22"/>
        </w:rPr>
        <w:t>a</w:t>
      </w:r>
      <w:r w:rsidRPr="00000576">
        <w:rPr>
          <w:rFonts w:cstheme="minorHAnsi"/>
          <w:sz w:val="22"/>
          <w:szCs w:val="22"/>
        </w:rPr>
        <w:t xml:space="preserve"> i naknade </w:t>
      </w:r>
      <w:r w:rsidR="00275734" w:rsidRPr="00000576">
        <w:rPr>
          <w:rFonts w:cstheme="minorHAnsi"/>
          <w:sz w:val="22"/>
          <w:szCs w:val="22"/>
        </w:rPr>
        <w:t xml:space="preserve">u </w:t>
      </w:r>
      <w:r w:rsidR="008E2D5F">
        <w:rPr>
          <w:rFonts w:cstheme="minorHAnsi"/>
          <w:sz w:val="22"/>
          <w:szCs w:val="22"/>
        </w:rPr>
        <w:t xml:space="preserve">prvoj polovici </w:t>
      </w:r>
      <w:r w:rsidR="00275734" w:rsidRPr="00000576">
        <w:rPr>
          <w:rFonts w:cstheme="minorHAnsi"/>
          <w:sz w:val="22"/>
          <w:szCs w:val="22"/>
        </w:rPr>
        <w:t>202</w:t>
      </w:r>
      <w:r w:rsidR="00804B8F">
        <w:rPr>
          <w:rFonts w:cstheme="minorHAnsi"/>
          <w:sz w:val="22"/>
          <w:szCs w:val="22"/>
        </w:rPr>
        <w:t>5</w:t>
      </w:r>
      <w:r w:rsidR="00275734" w:rsidRPr="00000576">
        <w:rPr>
          <w:rFonts w:cstheme="minorHAnsi"/>
          <w:sz w:val="22"/>
          <w:szCs w:val="22"/>
        </w:rPr>
        <w:t xml:space="preserve">. godine ostvareni su u iznosu od </w:t>
      </w:r>
      <w:r w:rsidR="00804B8F" w:rsidRPr="00804B8F">
        <w:rPr>
          <w:rFonts w:cstheme="minorHAnsi"/>
          <w:sz w:val="22"/>
          <w:szCs w:val="22"/>
        </w:rPr>
        <w:t>10.892,73</w:t>
      </w:r>
      <w:r w:rsidR="00C80A30">
        <w:rPr>
          <w:rFonts w:cstheme="minorHAnsi"/>
          <w:sz w:val="22"/>
          <w:szCs w:val="22"/>
        </w:rPr>
        <w:t xml:space="preserve"> eura</w:t>
      </w:r>
      <w:r w:rsidR="00FD32B2" w:rsidRPr="00000576">
        <w:rPr>
          <w:rFonts w:cstheme="minorHAnsi"/>
          <w:sz w:val="22"/>
          <w:szCs w:val="22"/>
        </w:rPr>
        <w:t xml:space="preserve">, </w:t>
      </w:r>
      <w:r w:rsidR="00CB1A01">
        <w:rPr>
          <w:rFonts w:cstheme="minorHAnsi"/>
          <w:sz w:val="22"/>
          <w:szCs w:val="22"/>
        </w:rPr>
        <w:t xml:space="preserve">što predstavlja povećanje od </w:t>
      </w:r>
      <w:r w:rsidR="00804B8F">
        <w:rPr>
          <w:rFonts w:cstheme="minorHAnsi"/>
          <w:sz w:val="22"/>
          <w:szCs w:val="22"/>
        </w:rPr>
        <w:t>3,86</w:t>
      </w:r>
      <w:r w:rsidR="00CB1A01">
        <w:rPr>
          <w:rFonts w:cstheme="minorHAnsi"/>
          <w:sz w:val="22"/>
          <w:szCs w:val="22"/>
        </w:rPr>
        <w:t>% u odnosu na isto razdoblje prethodne godine</w:t>
      </w:r>
      <w:r w:rsidR="006B5E02" w:rsidRPr="00000576">
        <w:rPr>
          <w:rFonts w:cstheme="minorHAnsi"/>
          <w:sz w:val="22"/>
          <w:szCs w:val="22"/>
        </w:rPr>
        <w:t xml:space="preserve">. </w:t>
      </w:r>
    </w:p>
    <w:p w14:paraId="241E834F" w14:textId="77777777" w:rsidR="00E671D0" w:rsidRPr="00000576" w:rsidRDefault="00E671D0" w:rsidP="00000576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</w:p>
    <w:p w14:paraId="154D6382" w14:textId="6FFB6A95" w:rsidR="00FD32B2" w:rsidRPr="0045314E" w:rsidRDefault="0045314E" w:rsidP="00165728">
      <w:pPr>
        <w:pStyle w:val="Naslov3"/>
        <w:numPr>
          <w:ilvl w:val="2"/>
          <w:numId w:val="4"/>
        </w:numPr>
        <w:spacing w:before="0" w:after="120"/>
        <w:ind w:left="504"/>
        <w:rPr>
          <w:b/>
          <w:sz w:val="22"/>
        </w:rPr>
      </w:pPr>
      <w:bookmarkStart w:id="15" w:name="_Toc209436497"/>
      <w:r w:rsidRPr="0045314E">
        <w:rPr>
          <w:b/>
          <w:caps w:val="0"/>
          <w:sz w:val="22"/>
        </w:rPr>
        <w:t>Kazne, upravne mjere i ostali prihodi</w:t>
      </w:r>
      <w:bookmarkEnd w:id="15"/>
      <w:r w:rsidRPr="0045314E">
        <w:rPr>
          <w:b/>
          <w:caps w:val="0"/>
          <w:sz w:val="22"/>
        </w:rPr>
        <w:t xml:space="preserve"> </w:t>
      </w:r>
    </w:p>
    <w:p w14:paraId="1956850B" w14:textId="3E2B7EBE" w:rsidR="00250D2E" w:rsidRDefault="00250D2E" w:rsidP="00000576">
      <w:pPr>
        <w:spacing w:before="0" w:after="120" w:line="240" w:lineRule="auto"/>
        <w:jc w:val="both"/>
        <w:rPr>
          <w:rFonts w:cstheme="minorHAnsi"/>
          <w:bCs/>
          <w:sz w:val="22"/>
          <w:szCs w:val="22"/>
        </w:rPr>
      </w:pPr>
      <w:r w:rsidRPr="00000576">
        <w:rPr>
          <w:rFonts w:cstheme="minorHAnsi"/>
          <w:bCs/>
          <w:sz w:val="22"/>
          <w:szCs w:val="22"/>
        </w:rPr>
        <w:t xml:space="preserve">Kazne, </w:t>
      </w:r>
      <w:r w:rsidR="00CF5739">
        <w:rPr>
          <w:rFonts w:cstheme="minorHAnsi"/>
          <w:bCs/>
          <w:sz w:val="22"/>
          <w:szCs w:val="22"/>
        </w:rPr>
        <w:t>u</w:t>
      </w:r>
      <w:r w:rsidRPr="00000576">
        <w:rPr>
          <w:rFonts w:cstheme="minorHAnsi"/>
          <w:bCs/>
          <w:sz w:val="22"/>
          <w:szCs w:val="22"/>
        </w:rPr>
        <w:t xml:space="preserve">pravne mjere i ostali prihodi </w:t>
      </w:r>
      <w:r w:rsidR="00C80A30">
        <w:rPr>
          <w:rFonts w:cstheme="minorHAnsi"/>
          <w:bCs/>
          <w:sz w:val="22"/>
          <w:szCs w:val="22"/>
        </w:rPr>
        <w:t>nisu ostvareni u prvoj polovici 202</w:t>
      </w:r>
      <w:r w:rsidR="00804B8F">
        <w:rPr>
          <w:rFonts w:cstheme="minorHAnsi"/>
          <w:bCs/>
          <w:sz w:val="22"/>
          <w:szCs w:val="22"/>
        </w:rPr>
        <w:t>5</w:t>
      </w:r>
      <w:r w:rsidR="00C80A30">
        <w:rPr>
          <w:rFonts w:cstheme="minorHAnsi"/>
          <w:bCs/>
          <w:sz w:val="22"/>
          <w:szCs w:val="22"/>
        </w:rPr>
        <w:t>. godine</w:t>
      </w:r>
      <w:r w:rsidR="00193062">
        <w:rPr>
          <w:rFonts w:cstheme="minorHAnsi"/>
          <w:bCs/>
          <w:sz w:val="22"/>
          <w:szCs w:val="22"/>
        </w:rPr>
        <w:t>.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9"/>
        <w:gridCol w:w="4642"/>
        <w:gridCol w:w="1136"/>
        <w:gridCol w:w="1133"/>
        <w:gridCol w:w="993"/>
        <w:gridCol w:w="991"/>
        <w:gridCol w:w="962"/>
      </w:tblGrid>
      <w:tr w:rsidR="00804B8F" w:rsidRPr="00804B8F" w14:paraId="219F949B" w14:textId="77777777" w:rsidTr="00804B8F">
        <w:trPr>
          <w:trHeight w:val="227"/>
        </w:trPr>
        <w:tc>
          <w:tcPr>
            <w:tcW w:w="2506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35FA163" w14:textId="77777777" w:rsidR="00804B8F" w:rsidRPr="00804B8F" w:rsidRDefault="00804B8F" w:rsidP="00804B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Brojčana oznaka i naziv računa</w:t>
            </w:r>
          </w:p>
        </w:tc>
        <w:tc>
          <w:tcPr>
            <w:tcW w:w="54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73A2A7B0" w14:textId="77777777" w:rsidR="00804B8F" w:rsidRDefault="00804B8F" w:rsidP="00804B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Izvršenje</w:t>
            </w:r>
          </w:p>
          <w:p w14:paraId="66BF327F" w14:textId="5F12E9DD" w:rsidR="00804B8F" w:rsidRPr="00804B8F" w:rsidRDefault="00804B8F" w:rsidP="00804B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I-VI 2024.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500122AE" w14:textId="77777777" w:rsidR="00804B8F" w:rsidRPr="00804B8F" w:rsidRDefault="00804B8F" w:rsidP="00804B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Proračun 2025</w:t>
            </w:r>
          </w:p>
        </w:tc>
        <w:tc>
          <w:tcPr>
            <w:tcW w:w="4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462ADDA8" w14:textId="77777777" w:rsidR="00804B8F" w:rsidRDefault="00804B8F" w:rsidP="00804B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Izvršenje </w:t>
            </w:r>
          </w:p>
          <w:p w14:paraId="569C404E" w14:textId="4207F410" w:rsidR="00804B8F" w:rsidRPr="00804B8F" w:rsidRDefault="00804B8F" w:rsidP="00804B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I-VI 2025.</w:t>
            </w:r>
          </w:p>
        </w:tc>
        <w:tc>
          <w:tcPr>
            <w:tcW w:w="47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435BDB09" w14:textId="77777777" w:rsidR="00804B8F" w:rsidRPr="00804B8F" w:rsidRDefault="00804B8F" w:rsidP="00804B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Indeks (4/2*100)</w:t>
            </w:r>
          </w:p>
        </w:tc>
        <w:tc>
          <w:tcPr>
            <w:tcW w:w="46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35EEB4EC" w14:textId="77777777" w:rsidR="00804B8F" w:rsidRPr="00804B8F" w:rsidRDefault="00804B8F" w:rsidP="00804B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Indeks (4/3*100)</w:t>
            </w:r>
          </w:p>
        </w:tc>
      </w:tr>
      <w:tr w:rsidR="00804B8F" w:rsidRPr="00804B8F" w14:paraId="615CA9F0" w14:textId="77777777" w:rsidTr="00804B8F">
        <w:trPr>
          <w:trHeight w:val="227"/>
        </w:trPr>
        <w:tc>
          <w:tcPr>
            <w:tcW w:w="250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7E6E6"/>
            <w:noWrap/>
            <w:vAlign w:val="center"/>
            <w:hideMark/>
          </w:tcPr>
          <w:p w14:paraId="0214D41B" w14:textId="77777777" w:rsidR="00804B8F" w:rsidRPr="00804B8F" w:rsidRDefault="00804B8F" w:rsidP="00804B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vAlign w:val="center"/>
            <w:hideMark/>
          </w:tcPr>
          <w:p w14:paraId="7419C275" w14:textId="77777777" w:rsidR="00804B8F" w:rsidRPr="00804B8F" w:rsidRDefault="00804B8F" w:rsidP="00804B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vAlign w:val="center"/>
            <w:hideMark/>
          </w:tcPr>
          <w:p w14:paraId="1B45FA9E" w14:textId="77777777" w:rsidR="00804B8F" w:rsidRPr="00804B8F" w:rsidRDefault="00804B8F" w:rsidP="00804B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vAlign w:val="center"/>
            <w:hideMark/>
          </w:tcPr>
          <w:p w14:paraId="66AC5065" w14:textId="77777777" w:rsidR="00804B8F" w:rsidRPr="00804B8F" w:rsidRDefault="00804B8F" w:rsidP="00804B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vAlign w:val="center"/>
            <w:hideMark/>
          </w:tcPr>
          <w:p w14:paraId="7B951A17" w14:textId="77777777" w:rsidR="00804B8F" w:rsidRPr="00804B8F" w:rsidRDefault="00804B8F" w:rsidP="00804B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2216D7AC" w14:textId="77777777" w:rsidR="00804B8F" w:rsidRPr="00804B8F" w:rsidRDefault="00804B8F" w:rsidP="00804B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</w:tr>
      <w:tr w:rsidR="00804B8F" w:rsidRPr="00804B8F" w14:paraId="0361AACF" w14:textId="77777777" w:rsidTr="00804B8F">
        <w:trPr>
          <w:trHeight w:val="227"/>
        </w:trPr>
        <w:tc>
          <w:tcPr>
            <w:tcW w:w="2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AF04ED4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68</w:t>
            </w:r>
          </w:p>
        </w:tc>
        <w:tc>
          <w:tcPr>
            <w:tcW w:w="221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00CF169" w14:textId="77777777" w:rsidR="00804B8F" w:rsidRPr="00804B8F" w:rsidRDefault="00804B8F" w:rsidP="00804B8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Kazne, upravne mjere i ostali prihodi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B960D2D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68474DA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3.500,00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283B2A0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1687F63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0,00%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0EBDBF2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0,00%</w:t>
            </w:r>
          </w:p>
        </w:tc>
      </w:tr>
      <w:tr w:rsidR="00804B8F" w:rsidRPr="00804B8F" w14:paraId="6CE4EB0F" w14:textId="77777777" w:rsidTr="00804B8F">
        <w:trPr>
          <w:trHeight w:val="227"/>
        </w:trPr>
        <w:tc>
          <w:tcPr>
            <w:tcW w:w="2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4E27D26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681</w:t>
            </w:r>
          </w:p>
        </w:tc>
        <w:tc>
          <w:tcPr>
            <w:tcW w:w="221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0FE7EC41" w14:textId="77777777" w:rsidR="00804B8F" w:rsidRPr="00804B8F" w:rsidRDefault="00804B8F" w:rsidP="00804B8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Kazne i upravne mjere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F5F3E19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3DE1FAC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B71D41D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8E33313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0,00%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F2B583C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804B8F" w:rsidRPr="00804B8F" w14:paraId="00C2D906" w14:textId="77777777" w:rsidTr="00804B8F">
        <w:trPr>
          <w:trHeight w:val="227"/>
        </w:trPr>
        <w:tc>
          <w:tcPr>
            <w:tcW w:w="2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51A82A1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6819</w:t>
            </w:r>
          </w:p>
        </w:tc>
        <w:tc>
          <w:tcPr>
            <w:tcW w:w="221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05122EC9" w14:textId="77777777" w:rsidR="00804B8F" w:rsidRPr="00804B8F" w:rsidRDefault="00804B8F" w:rsidP="00804B8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Ostale kazne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59995C2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0130AEC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596B23C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14091F8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0,00%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52CBFB1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804B8F" w:rsidRPr="00804B8F" w14:paraId="7FC5F7CA" w14:textId="77777777" w:rsidTr="00804B8F">
        <w:trPr>
          <w:trHeight w:val="227"/>
        </w:trPr>
        <w:tc>
          <w:tcPr>
            <w:tcW w:w="2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E0C67FC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683</w:t>
            </w:r>
          </w:p>
        </w:tc>
        <w:tc>
          <w:tcPr>
            <w:tcW w:w="221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4CFE2037" w14:textId="77777777" w:rsidR="00804B8F" w:rsidRPr="00804B8F" w:rsidRDefault="00804B8F" w:rsidP="00804B8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Ostali prihodi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C26B1FA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3868F0D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C2AA749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B6072E2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0,00%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E24405C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804B8F" w:rsidRPr="00804B8F" w14:paraId="16AC4EF9" w14:textId="77777777" w:rsidTr="00804B8F">
        <w:trPr>
          <w:trHeight w:val="227"/>
        </w:trPr>
        <w:tc>
          <w:tcPr>
            <w:tcW w:w="28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8BFEFA6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6831</w:t>
            </w:r>
          </w:p>
        </w:tc>
        <w:tc>
          <w:tcPr>
            <w:tcW w:w="221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2659A978" w14:textId="77777777" w:rsidR="00804B8F" w:rsidRPr="00804B8F" w:rsidRDefault="00804B8F" w:rsidP="00804B8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Ostali prihodi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8C7253A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AEC0A98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C5F51F7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FD86E88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0,00%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D1556B5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</w:tbl>
    <w:p w14:paraId="7259127A" w14:textId="77777777" w:rsidR="00A86C0F" w:rsidRPr="00000576" w:rsidRDefault="00A86C0F" w:rsidP="00193062">
      <w:pPr>
        <w:spacing w:before="120" w:after="120" w:line="240" w:lineRule="auto"/>
        <w:jc w:val="both"/>
        <w:rPr>
          <w:rFonts w:cstheme="minorHAnsi"/>
          <w:b/>
          <w:sz w:val="22"/>
          <w:szCs w:val="22"/>
        </w:rPr>
      </w:pPr>
    </w:p>
    <w:p w14:paraId="54EF2687" w14:textId="6EC54ECA" w:rsidR="00305607" w:rsidRPr="0045314E" w:rsidRDefault="0045314E" w:rsidP="00165728">
      <w:pPr>
        <w:pStyle w:val="Naslov3"/>
        <w:numPr>
          <w:ilvl w:val="2"/>
          <w:numId w:val="4"/>
        </w:numPr>
        <w:spacing w:before="0" w:after="120"/>
        <w:ind w:left="504"/>
        <w:rPr>
          <w:b/>
          <w:sz w:val="22"/>
        </w:rPr>
      </w:pPr>
      <w:bookmarkStart w:id="16" w:name="_Toc209436498"/>
      <w:r w:rsidRPr="0045314E">
        <w:rPr>
          <w:b/>
          <w:caps w:val="0"/>
          <w:sz w:val="22"/>
        </w:rPr>
        <w:t>Prihodi od prodaje ne</w:t>
      </w:r>
      <w:r w:rsidR="00E671D0">
        <w:rPr>
          <w:b/>
          <w:caps w:val="0"/>
          <w:sz w:val="22"/>
        </w:rPr>
        <w:t>financijske</w:t>
      </w:r>
      <w:r w:rsidRPr="0045314E">
        <w:rPr>
          <w:b/>
          <w:caps w:val="0"/>
          <w:sz w:val="22"/>
        </w:rPr>
        <w:t xml:space="preserve"> imovine</w:t>
      </w:r>
      <w:bookmarkEnd w:id="16"/>
    </w:p>
    <w:p w14:paraId="22C78349" w14:textId="4928B703" w:rsidR="001C3A02" w:rsidRDefault="00305607" w:rsidP="00000576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000576">
        <w:rPr>
          <w:rFonts w:cstheme="minorHAnsi"/>
          <w:sz w:val="22"/>
          <w:szCs w:val="22"/>
        </w:rPr>
        <w:t xml:space="preserve">Prihod od prodaje </w:t>
      </w:r>
      <w:r w:rsidR="00E671D0">
        <w:rPr>
          <w:rFonts w:cstheme="minorHAnsi"/>
          <w:sz w:val="22"/>
          <w:szCs w:val="22"/>
        </w:rPr>
        <w:t>nefinancijske</w:t>
      </w:r>
      <w:r w:rsidRPr="00000576">
        <w:rPr>
          <w:rFonts w:cstheme="minorHAnsi"/>
          <w:sz w:val="22"/>
          <w:szCs w:val="22"/>
        </w:rPr>
        <w:t xml:space="preserve"> imovine </w:t>
      </w:r>
      <w:r w:rsidR="008748E9">
        <w:rPr>
          <w:rFonts w:cstheme="minorHAnsi"/>
          <w:sz w:val="22"/>
          <w:szCs w:val="22"/>
        </w:rPr>
        <w:t xml:space="preserve">ostvaren je u iznosu od </w:t>
      </w:r>
      <w:r w:rsidR="00804B8F">
        <w:rPr>
          <w:rFonts w:cstheme="minorHAnsi"/>
          <w:sz w:val="22"/>
          <w:szCs w:val="22"/>
        </w:rPr>
        <w:t>455,68</w:t>
      </w:r>
      <w:r w:rsidR="005B3C55">
        <w:rPr>
          <w:rFonts w:cstheme="minorHAnsi"/>
          <w:sz w:val="22"/>
          <w:szCs w:val="22"/>
        </w:rPr>
        <w:t xml:space="preserve"> eura što </w:t>
      </w:r>
      <w:r w:rsidR="00804B8F">
        <w:rPr>
          <w:rFonts w:cstheme="minorHAnsi"/>
          <w:sz w:val="22"/>
          <w:szCs w:val="22"/>
        </w:rPr>
        <w:t>predstavlja</w:t>
      </w:r>
      <w:r w:rsidR="005B3C55">
        <w:rPr>
          <w:rFonts w:cstheme="minorHAnsi"/>
          <w:sz w:val="22"/>
          <w:szCs w:val="22"/>
        </w:rPr>
        <w:t xml:space="preserve"> </w:t>
      </w:r>
      <w:r w:rsidR="00804B8F">
        <w:rPr>
          <w:rFonts w:cstheme="minorHAnsi"/>
          <w:sz w:val="22"/>
          <w:szCs w:val="22"/>
        </w:rPr>
        <w:t>smanjenje</w:t>
      </w:r>
      <w:r w:rsidR="005B3C55">
        <w:rPr>
          <w:rFonts w:cstheme="minorHAnsi"/>
          <w:sz w:val="22"/>
          <w:szCs w:val="22"/>
        </w:rPr>
        <w:t xml:space="preserve"> u odnosu na isto razdoblje prošle godine</w:t>
      </w:r>
      <w:r w:rsidR="00804B8F">
        <w:rPr>
          <w:rFonts w:cstheme="minorHAnsi"/>
          <w:sz w:val="22"/>
          <w:szCs w:val="22"/>
        </w:rPr>
        <w:t xml:space="preserve"> jer nije realizirana planira</w:t>
      </w:r>
      <w:r w:rsidR="005405A1">
        <w:rPr>
          <w:rFonts w:cstheme="minorHAnsi"/>
          <w:sz w:val="22"/>
          <w:szCs w:val="22"/>
        </w:rPr>
        <w:t>na prodaja nekretnina</w:t>
      </w:r>
      <w:r w:rsidR="005B3C55">
        <w:rPr>
          <w:rFonts w:cstheme="minorHAnsi"/>
          <w:sz w:val="22"/>
          <w:szCs w:val="22"/>
        </w:rPr>
        <w:t xml:space="preserve"> 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9"/>
        <w:gridCol w:w="4701"/>
        <w:gridCol w:w="1106"/>
        <w:gridCol w:w="1186"/>
        <w:gridCol w:w="985"/>
        <w:gridCol w:w="983"/>
        <w:gridCol w:w="956"/>
      </w:tblGrid>
      <w:tr w:rsidR="00804B8F" w:rsidRPr="00804B8F" w14:paraId="01D6B1FD" w14:textId="77777777" w:rsidTr="00804B8F">
        <w:trPr>
          <w:trHeight w:val="227"/>
        </w:trPr>
        <w:tc>
          <w:tcPr>
            <w:tcW w:w="2506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14F93DC" w14:textId="77777777" w:rsidR="00804B8F" w:rsidRPr="00804B8F" w:rsidRDefault="00804B8F" w:rsidP="00804B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Brojčana oznaka i naziv računa</w:t>
            </w:r>
          </w:p>
        </w:tc>
        <w:tc>
          <w:tcPr>
            <w:tcW w:w="52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1C92D79F" w14:textId="77777777" w:rsidR="005405A1" w:rsidRDefault="00804B8F" w:rsidP="00804B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Izvršenje</w:t>
            </w:r>
          </w:p>
          <w:p w14:paraId="14E84AD2" w14:textId="14625CE7" w:rsidR="00804B8F" w:rsidRPr="00804B8F" w:rsidRDefault="00804B8F" w:rsidP="00804B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I-VI 2024.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2E8B2358" w14:textId="77777777" w:rsidR="00804B8F" w:rsidRPr="00804B8F" w:rsidRDefault="00804B8F" w:rsidP="00804B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Proračun 2025</w:t>
            </w:r>
          </w:p>
        </w:tc>
        <w:tc>
          <w:tcPr>
            <w:tcW w:w="47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2AD7C4A1" w14:textId="77777777" w:rsidR="00804B8F" w:rsidRPr="00804B8F" w:rsidRDefault="00804B8F" w:rsidP="00804B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Izvršenje I-VI 2025.</w:t>
            </w:r>
          </w:p>
        </w:tc>
        <w:tc>
          <w:tcPr>
            <w:tcW w:w="470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329F3047" w14:textId="77777777" w:rsidR="00804B8F" w:rsidRPr="00804B8F" w:rsidRDefault="00804B8F" w:rsidP="00804B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Indeks (4/2*100)</w:t>
            </w:r>
          </w:p>
        </w:tc>
        <w:tc>
          <w:tcPr>
            <w:tcW w:w="45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200BDAD4" w14:textId="77777777" w:rsidR="00804B8F" w:rsidRPr="00804B8F" w:rsidRDefault="00804B8F" w:rsidP="00804B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Indeks (4/3*100)</w:t>
            </w:r>
          </w:p>
        </w:tc>
      </w:tr>
      <w:tr w:rsidR="00804B8F" w:rsidRPr="00804B8F" w14:paraId="5945E758" w14:textId="77777777" w:rsidTr="00804B8F">
        <w:trPr>
          <w:trHeight w:val="227"/>
        </w:trPr>
        <w:tc>
          <w:tcPr>
            <w:tcW w:w="250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7E6E6"/>
            <w:noWrap/>
            <w:vAlign w:val="center"/>
            <w:hideMark/>
          </w:tcPr>
          <w:p w14:paraId="2476E884" w14:textId="77777777" w:rsidR="00804B8F" w:rsidRPr="00804B8F" w:rsidRDefault="00804B8F" w:rsidP="00804B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vAlign w:val="center"/>
            <w:hideMark/>
          </w:tcPr>
          <w:p w14:paraId="00C2CCE0" w14:textId="77777777" w:rsidR="00804B8F" w:rsidRPr="00804B8F" w:rsidRDefault="00804B8F" w:rsidP="00804B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vAlign w:val="center"/>
            <w:hideMark/>
          </w:tcPr>
          <w:p w14:paraId="4C3A6B57" w14:textId="77777777" w:rsidR="00804B8F" w:rsidRPr="00804B8F" w:rsidRDefault="00804B8F" w:rsidP="00804B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vAlign w:val="center"/>
            <w:hideMark/>
          </w:tcPr>
          <w:p w14:paraId="7834CAC2" w14:textId="77777777" w:rsidR="00804B8F" w:rsidRPr="00804B8F" w:rsidRDefault="00804B8F" w:rsidP="00804B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vAlign w:val="center"/>
            <w:hideMark/>
          </w:tcPr>
          <w:p w14:paraId="1C537E33" w14:textId="77777777" w:rsidR="00804B8F" w:rsidRPr="00804B8F" w:rsidRDefault="00804B8F" w:rsidP="00804B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4A1D189C" w14:textId="77777777" w:rsidR="00804B8F" w:rsidRPr="00804B8F" w:rsidRDefault="00804B8F" w:rsidP="00804B8F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</w:tr>
      <w:tr w:rsidR="00804B8F" w:rsidRPr="00804B8F" w14:paraId="16201103" w14:textId="77777777" w:rsidTr="00804B8F">
        <w:trPr>
          <w:trHeight w:val="227"/>
        </w:trPr>
        <w:tc>
          <w:tcPr>
            <w:tcW w:w="2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9C91087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</w:t>
            </w: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618C0B05" w14:textId="77777777" w:rsidR="00804B8F" w:rsidRPr="00804B8F" w:rsidRDefault="00804B8F" w:rsidP="00804B8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Prihodi od prodaje nefinancijske imovine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48FA1F2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12.570,07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544A6AB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1.462.000,00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5BABB39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455,68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7AD5005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3,63%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EE3D99C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0,03%</w:t>
            </w:r>
          </w:p>
        </w:tc>
      </w:tr>
      <w:tr w:rsidR="00804B8F" w:rsidRPr="00804B8F" w14:paraId="1164520C" w14:textId="77777777" w:rsidTr="00804B8F">
        <w:trPr>
          <w:trHeight w:val="227"/>
        </w:trPr>
        <w:tc>
          <w:tcPr>
            <w:tcW w:w="2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73963AC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71</w:t>
            </w: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1FB1B78B" w14:textId="77777777" w:rsidR="00804B8F" w:rsidRPr="00804B8F" w:rsidRDefault="00804B8F" w:rsidP="00804B8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Prihodi od prodaje </w:t>
            </w:r>
            <w:proofErr w:type="spellStart"/>
            <w:r w:rsidRPr="00804B8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neproizvedene</w:t>
            </w:r>
            <w:proofErr w:type="spellEnd"/>
            <w:r w:rsidRPr="00804B8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dugotrajne imovine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FDB2536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2.435,07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52F8108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64.000,00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A75BF7C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455,68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23FDEFF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18,71%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75ACC82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0,71%</w:t>
            </w:r>
          </w:p>
        </w:tc>
      </w:tr>
      <w:tr w:rsidR="00804B8F" w:rsidRPr="00804B8F" w14:paraId="228B468E" w14:textId="77777777" w:rsidTr="00804B8F">
        <w:trPr>
          <w:trHeight w:val="227"/>
        </w:trPr>
        <w:tc>
          <w:tcPr>
            <w:tcW w:w="2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0AC6063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711</w:t>
            </w: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7FFAA17C" w14:textId="77777777" w:rsidR="00804B8F" w:rsidRPr="00804B8F" w:rsidRDefault="00804B8F" w:rsidP="00804B8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Prihodi od prodaje materijalne imovine – prirodnih bogatstava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D1204FD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2.435,07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75629F6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F94AA38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455,68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552F6BF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18,71%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AD0AD0B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804B8F" w:rsidRPr="00804B8F" w14:paraId="51C97C8B" w14:textId="77777777" w:rsidTr="00804B8F">
        <w:trPr>
          <w:trHeight w:val="227"/>
        </w:trPr>
        <w:tc>
          <w:tcPr>
            <w:tcW w:w="2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41E7AF8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7111</w:t>
            </w: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30605D94" w14:textId="77777777" w:rsidR="00804B8F" w:rsidRPr="00804B8F" w:rsidRDefault="00804B8F" w:rsidP="00804B8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Zemljište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BF2B64D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2.435,07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948A960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3969606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455,68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3064F54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18,71%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41E199D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804B8F" w:rsidRPr="00804B8F" w14:paraId="72FFA1AC" w14:textId="77777777" w:rsidTr="00804B8F">
        <w:trPr>
          <w:trHeight w:val="227"/>
        </w:trPr>
        <w:tc>
          <w:tcPr>
            <w:tcW w:w="2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9BBB88A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72</w:t>
            </w: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1A34A04" w14:textId="77777777" w:rsidR="00804B8F" w:rsidRPr="00804B8F" w:rsidRDefault="00804B8F" w:rsidP="00804B8F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Prihodi od prodaje proizvedene dugotrajne imovine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05B6B06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10.135,00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E258A7C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1.398.000,00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13EB7ED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E22C2C2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0,00%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6966724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0,00%</w:t>
            </w:r>
          </w:p>
        </w:tc>
      </w:tr>
      <w:tr w:rsidR="00804B8F" w:rsidRPr="00804B8F" w14:paraId="0B477BAA" w14:textId="77777777" w:rsidTr="00804B8F">
        <w:trPr>
          <w:trHeight w:val="227"/>
        </w:trPr>
        <w:tc>
          <w:tcPr>
            <w:tcW w:w="2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3EA3C45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721</w:t>
            </w: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5C16F569" w14:textId="77777777" w:rsidR="00804B8F" w:rsidRPr="00804B8F" w:rsidRDefault="00804B8F" w:rsidP="00804B8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Prihodi od prodaje građevinskih objekata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7D1AEE2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10.135,00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22F09F7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19E17EF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908DF13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0,00%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462BF08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804B8F" w:rsidRPr="00804B8F" w14:paraId="6CC0B122" w14:textId="77777777" w:rsidTr="00804B8F">
        <w:trPr>
          <w:trHeight w:val="227"/>
        </w:trPr>
        <w:tc>
          <w:tcPr>
            <w:tcW w:w="2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05FCFA5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7211</w:t>
            </w: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06ADD133" w14:textId="77777777" w:rsidR="00804B8F" w:rsidRPr="00804B8F" w:rsidRDefault="00804B8F" w:rsidP="00804B8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Stambeni objekti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53F465A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10.135,00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77AC6B4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C25E9B1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5830059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0,00%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DB11006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804B8F" w:rsidRPr="00804B8F" w14:paraId="09CB5236" w14:textId="77777777" w:rsidTr="00804B8F">
        <w:trPr>
          <w:trHeight w:val="227"/>
        </w:trPr>
        <w:tc>
          <w:tcPr>
            <w:tcW w:w="2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7586854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7212</w:t>
            </w: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55A72579" w14:textId="77777777" w:rsidR="00804B8F" w:rsidRPr="00804B8F" w:rsidRDefault="00804B8F" w:rsidP="00804B8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Poslovni objekti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8556D53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04FBEE0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E5A7A48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011ED02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0,00%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ABE18D5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804B8F" w:rsidRPr="00804B8F" w14:paraId="7C24D4E4" w14:textId="77777777" w:rsidTr="00804B8F">
        <w:trPr>
          <w:trHeight w:val="227"/>
        </w:trPr>
        <w:tc>
          <w:tcPr>
            <w:tcW w:w="2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81DA93F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722</w:t>
            </w: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04F2C89B" w14:textId="77777777" w:rsidR="00804B8F" w:rsidRPr="00804B8F" w:rsidRDefault="00804B8F" w:rsidP="00804B8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Prihodi od prodaje postrojenja i opreme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106994E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5342B9D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D79FDA0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C03C9EE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0,00%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8666B08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804B8F" w:rsidRPr="00804B8F" w14:paraId="36467791" w14:textId="77777777" w:rsidTr="00804B8F">
        <w:trPr>
          <w:trHeight w:val="227"/>
        </w:trPr>
        <w:tc>
          <w:tcPr>
            <w:tcW w:w="25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C081781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7226</w:t>
            </w:r>
          </w:p>
        </w:tc>
        <w:tc>
          <w:tcPr>
            <w:tcW w:w="224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4D7A8043" w14:textId="77777777" w:rsidR="00804B8F" w:rsidRPr="00804B8F" w:rsidRDefault="00804B8F" w:rsidP="00804B8F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Sportska i glazbena oprema</w:t>
            </w:r>
          </w:p>
        </w:tc>
        <w:tc>
          <w:tcPr>
            <w:tcW w:w="52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F97605B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D5870FB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4F312A4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47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C1F0607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0,00%</w:t>
            </w:r>
          </w:p>
        </w:tc>
        <w:tc>
          <w:tcPr>
            <w:tcW w:w="45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D371C53" w14:textId="77777777" w:rsidR="00804B8F" w:rsidRPr="00804B8F" w:rsidRDefault="00804B8F" w:rsidP="00804B8F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804B8F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</w:tbl>
    <w:p w14:paraId="0CC8E18B" w14:textId="558517F6" w:rsidR="008748E9" w:rsidRDefault="005B3C55" w:rsidP="005B3C55">
      <w:pPr>
        <w:spacing w:before="120" w:after="120" w:line="24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Prihod od prodaje </w:t>
      </w:r>
      <w:proofErr w:type="spellStart"/>
      <w:r>
        <w:rPr>
          <w:rFonts w:cstheme="minorHAnsi"/>
          <w:sz w:val="22"/>
          <w:szCs w:val="22"/>
        </w:rPr>
        <w:t>neproizvedene</w:t>
      </w:r>
      <w:proofErr w:type="spellEnd"/>
      <w:r>
        <w:rPr>
          <w:rFonts w:cstheme="minorHAnsi"/>
          <w:sz w:val="22"/>
          <w:szCs w:val="22"/>
        </w:rPr>
        <w:t xml:space="preserve"> dugotrajne imovine ostvaren je u iznosu od </w:t>
      </w:r>
      <w:r w:rsidR="005405A1">
        <w:rPr>
          <w:rFonts w:cstheme="minorHAnsi"/>
          <w:sz w:val="22"/>
          <w:szCs w:val="22"/>
        </w:rPr>
        <w:t>455,68</w:t>
      </w:r>
      <w:r>
        <w:rPr>
          <w:rFonts w:cstheme="minorHAnsi"/>
          <w:sz w:val="22"/>
          <w:szCs w:val="22"/>
        </w:rPr>
        <w:t xml:space="preserve"> eura, a odnosi se u</w:t>
      </w:r>
      <w:r w:rsidRPr="00000576">
        <w:rPr>
          <w:rFonts w:cstheme="minorHAnsi"/>
          <w:sz w:val="22"/>
          <w:szCs w:val="22"/>
        </w:rPr>
        <w:t xml:space="preserve"> potpunosti na prihod od prodaje poljoprivrednog zemljišta</w:t>
      </w:r>
      <w:r>
        <w:rPr>
          <w:rFonts w:cstheme="minorHAnsi"/>
          <w:sz w:val="22"/>
          <w:szCs w:val="22"/>
        </w:rPr>
        <w:t>.</w:t>
      </w:r>
    </w:p>
    <w:p w14:paraId="1036B829" w14:textId="512180C6" w:rsidR="005B3C55" w:rsidRDefault="005B3C55" w:rsidP="005B3C55">
      <w:pPr>
        <w:spacing w:before="120" w:after="120" w:line="240" w:lineRule="auto"/>
        <w:jc w:val="both"/>
        <w:rPr>
          <w:rFonts w:cstheme="minorHAnsi"/>
          <w:sz w:val="22"/>
          <w:szCs w:val="22"/>
        </w:rPr>
      </w:pPr>
      <w:r w:rsidRPr="005B3C55">
        <w:rPr>
          <w:rFonts w:cstheme="minorHAnsi"/>
          <w:sz w:val="22"/>
          <w:szCs w:val="22"/>
        </w:rPr>
        <w:t>Prihodi od prodaje proizvedene dugotrajne imovine</w:t>
      </w:r>
      <w:r>
        <w:rPr>
          <w:rFonts w:cstheme="minorHAnsi"/>
          <w:sz w:val="22"/>
          <w:szCs w:val="22"/>
        </w:rPr>
        <w:t xml:space="preserve"> </w:t>
      </w:r>
      <w:r w:rsidR="005405A1">
        <w:rPr>
          <w:rFonts w:cstheme="minorHAnsi"/>
          <w:sz w:val="22"/>
          <w:szCs w:val="22"/>
        </w:rPr>
        <w:t>nisu ostvareni u promatranom razdoblju</w:t>
      </w:r>
      <w:r>
        <w:rPr>
          <w:rFonts w:cstheme="minorHAnsi"/>
          <w:sz w:val="22"/>
          <w:szCs w:val="22"/>
        </w:rPr>
        <w:t>.</w:t>
      </w:r>
    </w:p>
    <w:p w14:paraId="0D560074" w14:textId="77777777" w:rsidR="005405A1" w:rsidRDefault="005405A1" w:rsidP="005B3C55">
      <w:pPr>
        <w:spacing w:before="120" w:after="120" w:line="240" w:lineRule="auto"/>
        <w:jc w:val="both"/>
        <w:rPr>
          <w:rFonts w:cstheme="minorHAnsi"/>
          <w:sz w:val="22"/>
          <w:szCs w:val="22"/>
        </w:rPr>
      </w:pPr>
    </w:p>
    <w:p w14:paraId="01D2CACE" w14:textId="619EFED1" w:rsidR="00E97F5D" w:rsidRPr="002324AF" w:rsidRDefault="002324AF" w:rsidP="00165728">
      <w:pPr>
        <w:pStyle w:val="Naslov3"/>
        <w:numPr>
          <w:ilvl w:val="2"/>
          <w:numId w:val="4"/>
        </w:numPr>
        <w:spacing w:before="0" w:after="120"/>
        <w:ind w:left="504"/>
        <w:rPr>
          <w:b/>
          <w:sz w:val="22"/>
        </w:rPr>
      </w:pPr>
      <w:bookmarkStart w:id="17" w:name="_Toc209436499"/>
      <w:r w:rsidRPr="002324AF">
        <w:rPr>
          <w:b/>
          <w:caps w:val="0"/>
          <w:sz w:val="22"/>
        </w:rPr>
        <w:t>Primici od financijske imovine i zaduživanja</w:t>
      </w:r>
      <w:bookmarkEnd w:id="17"/>
    </w:p>
    <w:p w14:paraId="003CF66E" w14:textId="20E25A86" w:rsidR="00102A1B" w:rsidRDefault="001561B9" w:rsidP="00000576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000576">
        <w:rPr>
          <w:rFonts w:cstheme="minorHAnsi"/>
          <w:sz w:val="22"/>
          <w:szCs w:val="22"/>
        </w:rPr>
        <w:t xml:space="preserve">Primici od </w:t>
      </w:r>
      <w:r w:rsidR="004B6EEF">
        <w:rPr>
          <w:rFonts w:cstheme="minorHAnsi"/>
          <w:sz w:val="22"/>
          <w:szCs w:val="22"/>
        </w:rPr>
        <w:t xml:space="preserve">financijske imovine i </w:t>
      </w:r>
      <w:r w:rsidRPr="00000576">
        <w:rPr>
          <w:rFonts w:cstheme="minorHAnsi"/>
          <w:sz w:val="22"/>
          <w:szCs w:val="22"/>
        </w:rPr>
        <w:t xml:space="preserve">zaduživanja </w:t>
      </w:r>
      <w:r w:rsidR="007F5F23">
        <w:rPr>
          <w:rFonts w:cstheme="minorHAnsi"/>
          <w:sz w:val="22"/>
          <w:szCs w:val="22"/>
        </w:rPr>
        <w:t xml:space="preserve">ostvareni su u iznosu od </w:t>
      </w:r>
      <w:r w:rsidR="005405A1">
        <w:rPr>
          <w:rFonts w:cstheme="minorHAnsi"/>
          <w:sz w:val="22"/>
          <w:szCs w:val="22"/>
        </w:rPr>
        <w:t>9</w:t>
      </w:r>
      <w:r w:rsidR="007F5F23">
        <w:rPr>
          <w:rFonts w:cstheme="minorHAnsi"/>
          <w:sz w:val="22"/>
          <w:szCs w:val="22"/>
        </w:rPr>
        <w:t xml:space="preserve">0.000,00 eura, </w:t>
      </w:r>
      <w:r w:rsidR="005405A1">
        <w:rPr>
          <w:rFonts w:cstheme="minorHAnsi"/>
          <w:sz w:val="22"/>
          <w:szCs w:val="22"/>
        </w:rPr>
        <w:t>te su višestruko povećani u odnosu na isto razdoblje prethodne godine</w:t>
      </w:r>
      <w:r w:rsidR="009D6FC0">
        <w:rPr>
          <w:rFonts w:cstheme="minorHAnsi"/>
          <w:sz w:val="22"/>
          <w:szCs w:val="22"/>
        </w:rPr>
        <w:t>.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3"/>
        <w:gridCol w:w="4668"/>
        <w:gridCol w:w="1136"/>
        <w:gridCol w:w="1133"/>
        <w:gridCol w:w="993"/>
        <w:gridCol w:w="991"/>
        <w:gridCol w:w="962"/>
      </w:tblGrid>
      <w:tr w:rsidR="005405A1" w:rsidRPr="005405A1" w14:paraId="4EA20C70" w14:textId="77777777" w:rsidTr="005405A1">
        <w:trPr>
          <w:trHeight w:val="227"/>
        </w:trPr>
        <w:tc>
          <w:tcPr>
            <w:tcW w:w="2506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D8B40DE" w14:textId="77777777" w:rsidR="005405A1" w:rsidRPr="005405A1" w:rsidRDefault="005405A1" w:rsidP="005405A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05A1">
              <w:rPr>
                <w:rFonts w:ascii="Calibri" w:eastAsia="Times New Roman" w:hAnsi="Calibri" w:cs="Calibri"/>
                <w:color w:val="000000"/>
                <w:lang w:eastAsia="hr-HR"/>
              </w:rPr>
              <w:t>Brojčana oznaka i naziv računa</w:t>
            </w:r>
          </w:p>
        </w:tc>
        <w:tc>
          <w:tcPr>
            <w:tcW w:w="54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25EE704C" w14:textId="77777777" w:rsidR="005405A1" w:rsidRDefault="005405A1" w:rsidP="005405A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05A1">
              <w:rPr>
                <w:rFonts w:ascii="Calibri" w:eastAsia="Times New Roman" w:hAnsi="Calibri" w:cs="Calibri"/>
                <w:color w:val="000000"/>
                <w:lang w:eastAsia="hr-HR"/>
              </w:rPr>
              <w:t>Izvršenje</w:t>
            </w:r>
          </w:p>
          <w:p w14:paraId="024444A4" w14:textId="2AAC0FFF" w:rsidR="005405A1" w:rsidRPr="005405A1" w:rsidRDefault="005405A1" w:rsidP="005405A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05A1">
              <w:rPr>
                <w:rFonts w:ascii="Calibri" w:eastAsia="Times New Roman" w:hAnsi="Calibri" w:cs="Calibri"/>
                <w:color w:val="000000"/>
                <w:lang w:eastAsia="hr-HR"/>
              </w:rPr>
              <w:t>I-VI 2024.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1009FFB4" w14:textId="77777777" w:rsidR="005405A1" w:rsidRPr="005405A1" w:rsidRDefault="005405A1" w:rsidP="005405A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05A1">
              <w:rPr>
                <w:rFonts w:ascii="Calibri" w:eastAsia="Times New Roman" w:hAnsi="Calibri" w:cs="Calibri"/>
                <w:color w:val="000000"/>
                <w:lang w:eastAsia="hr-HR"/>
              </w:rPr>
              <w:t>Proračun 2025</w:t>
            </w:r>
          </w:p>
        </w:tc>
        <w:tc>
          <w:tcPr>
            <w:tcW w:w="4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33CAE913" w14:textId="77777777" w:rsidR="005405A1" w:rsidRDefault="005405A1" w:rsidP="005405A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05A1">
              <w:rPr>
                <w:rFonts w:ascii="Calibri" w:eastAsia="Times New Roman" w:hAnsi="Calibri" w:cs="Calibri"/>
                <w:color w:val="000000"/>
                <w:lang w:eastAsia="hr-HR"/>
              </w:rPr>
              <w:t>Izvršenje</w:t>
            </w:r>
          </w:p>
          <w:p w14:paraId="6AA351BD" w14:textId="68C6F5A7" w:rsidR="005405A1" w:rsidRPr="005405A1" w:rsidRDefault="005405A1" w:rsidP="005405A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05A1">
              <w:rPr>
                <w:rFonts w:ascii="Calibri" w:eastAsia="Times New Roman" w:hAnsi="Calibri" w:cs="Calibri"/>
                <w:color w:val="000000"/>
                <w:lang w:eastAsia="hr-HR"/>
              </w:rPr>
              <w:t>I-VI 2025.</w:t>
            </w:r>
          </w:p>
        </w:tc>
        <w:tc>
          <w:tcPr>
            <w:tcW w:w="47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1683BD18" w14:textId="77777777" w:rsidR="005405A1" w:rsidRPr="005405A1" w:rsidRDefault="005405A1" w:rsidP="005405A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05A1">
              <w:rPr>
                <w:rFonts w:ascii="Calibri" w:eastAsia="Times New Roman" w:hAnsi="Calibri" w:cs="Calibri"/>
                <w:color w:val="000000"/>
                <w:lang w:eastAsia="hr-HR"/>
              </w:rPr>
              <w:t>Indeks (4/2*100)</w:t>
            </w:r>
          </w:p>
        </w:tc>
        <w:tc>
          <w:tcPr>
            <w:tcW w:w="46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56F9F7BE" w14:textId="77777777" w:rsidR="005405A1" w:rsidRPr="005405A1" w:rsidRDefault="005405A1" w:rsidP="005405A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05A1">
              <w:rPr>
                <w:rFonts w:ascii="Calibri" w:eastAsia="Times New Roman" w:hAnsi="Calibri" w:cs="Calibri"/>
                <w:color w:val="000000"/>
                <w:lang w:eastAsia="hr-HR"/>
              </w:rPr>
              <w:t>Indeks (4/3*100)</w:t>
            </w:r>
          </w:p>
        </w:tc>
      </w:tr>
      <w:tr w:rsidR="005405A1" w:rsidRPr="005405A1" w14:paraId="10D8AE00" w14:textId="77777777" w:rsidTr="005405A1">
        <w:trPr>
          <w:trHeight w:val="227"/>
        </w:trPr>
        <w:tc>
          <w:tcPr>
            <w:tcW w:w="2506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7E6E6"/>
            <w:noWrap/>
            <w:vAlign w:val="center"/>
            <w:hideMark/>
          </w:tcPr>
          <w:p w14:paraId="39C40B6A" w14:textId="77777777" w:rsidR="005405A1" w:rsidRPr="005405A1" w:rsidRDefault="005405A1" w:rsidP="005405A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05A1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vAlign w:val="center"/>
            <w:hideMark/>
          </w:tcPr>
          <w:p w14:paraId="30F6BC79" w14:textId="77777777" w:rsidR="005405A1" w:rsidRPr="005405A1" w:rsidRDefault="005405A1" w:rsidP="005405A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05A1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vAlign w:val="center"/>
            <w:hideMark/>
          </w:tcPr>
          <w:p w14:paraId="04A93511" w14:textId="77777777" w:rsidR="005405A1" w:rsidRPr="005405A1" w:rsidRDefault="005405A1" w:rsidP="005405A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05A1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vAlign w:val="center"/>
            <w:hideMark/>
          </w:tcPr>
          <w:p w14:paraId="6A658F1C" w14:textId="77777777" w:rsidR="005405A1" w:rsidRPr="005405A1" w:rsidRDefault="005405A1" w:rsidP="005405A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05A1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vAlign w:val="center"/>
            <w:hideMark/>
          </w:tcPr>
          <w:p w14:paraId="55301F61" w14:textId="77777777" w:rsidR="005405A1" w:rsidRPr="005405A1" w:rsidRDefault="005405A1" w:rsidP="005405A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05A1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3230AFE5" w14:textId="77777777" w:rsidR="005405A1" w:rsidRPr="005405A1" w:rsidRDefault="005405A1" w:rsidP="005405A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05A1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</w:tr>
      <w:tr w:rsidR="005405A1" w:rsidRPr="005405A1" w14:paraId="11D0EEB9" w14:textId="77777777" w:rsidTr="005405A1">
        <w:trPr>
          <w:trHeight w:val="227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397E641" w14:textId="77777777" w:rsidR="005405A1" w:rsidRPr="005405A1" w:rsidRDefault="005405A1" w:rsidP="005405A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405A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5569248D" w14:textId="77777777" w:rsidR="005405A1" w:rsidRPr="005405A1" w:rsidRDefault="005405A1" w:rsidP="005405A1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405A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Primici od financijske imovine i zaduživanja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DAC265D" w14:textId="77777777" w:rsidR="005405A1" w:rsidRPr="005405A1" w:rsidRDefault="005405A1" w:rsidP="005405A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405A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10.000,00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048A244" w14:textId="77777777" w:rsidR="005405A1" w:rsidRPr="005405A1" w:rsidRDefault="005405A1" w:rsidP="005405A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405A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75.000,00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D85D46F" w14:textId="77777777" w:rsidR="005405A1" w:rsidRPr="005405A1" w:rsidRDefault="005405A1" w:rsidP="005405A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405A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90.000,00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23375FA" w14:textId="77777777" w:rsidR="005405A1" w:rsidRPr="005405A1" w:rsidRDefault="005405A1" w:rsidP="005405A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405A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900,00%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B41AE85" w14:textId="77777777" w:rsidR="005405A1" w:rsidRPr="005405A1" w:rsidRDefault="005405A1" w:rsidP="005405A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405A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120,00%</w:t>
            </w:r>
          </w:p>
        </w:tc>
      </w:tr>
      <w:tr w:rsidR="005405A1" w:rsidRPr="005405A1" w14:paraId="1216511A" w14:textId="77777777" w:rsidTr="005405A1">
        <w:trPr>
          <w:trHeight w:val="227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762F0D9" w14:textId="77777777" w:rsidR="005405A1" w:rsidRPr="005405A1" w:rsidRDefault="005405A1" w:rsidP="005405A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405A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84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49BE6CCE" w14:textId="77777777" w:rsidR="005405A1" w:rsidRPr="005405A1" w:rsidRDefault="005405A1" w:rsidP="005405A1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405A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Primici od zaduživanja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960E89D" w14:textId="77777777" w:rsidR="005405A1" w:rsidRPr="005405A1" w:rsidRDefault="005405A1" w:rsidP="005405A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405A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10.000,00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5C89758" w14:textId="77777777" w:rsidR="005405A1" w:rsidRPr="005405A1" w:rsidRDefault="005405A1" w:rsidP="005405A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405A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75.000,00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B62C94E" w14:textId="77777777" w:rsidR="005405A1" w:rsidRPr="005405A1" w:rsidRDefault="005405A1" w:rsidP="005405A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405A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90.000,00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7D1BA56" w14:textId="77777777" w:rsidR="005405A1" w:rsidRPr="005405A1" w:rsidRDefault="005405A1" w:rsidP="005405A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405A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900,00%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3E6389A" w14:textId="77777777" w:rsidR="005405A1" w:rsidRPr="005405A1" w:rsidRDefault="005405A1" w:rsidP="005405A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405A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120,00%</w:t>
            </w:r>
          </w:p>
        </w:tc>
      </w:tr>
      <w:tr w:rsidR="005405A1" w:rsidRPr="005405A1" w14:paraId="18336BB7" w14:textId="77777777" w:rsidTr="005405A1">
        <w:trPr>
          <w:trHeight w:val="227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D320E29" w14:textId="77777777" w:rsidR="005405A1" w:rsidRPr="005405A1" w:rsidRDefault="005405A1" w:rsidP="005405A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05A1">
              <w:rPr>
                <w:rFonts w:ascii="Calibri" w:eastAsia="Times New Roman" w:hAnsi="Calibri" w:cs="Calibri"/>
                <w:color w:val="000000"/>
                <w:lang w:eastAsia="hr-HR"/>
              </w:rPr>
              <w:t>844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0456322F" w14:textId="77777777" w:rsidR="005405A1" w:rsidRPr="005405A1" w:rsidRDefault="005405A1" w:rsidP="005405A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05A1">
              <w:rPr>
                <w:rFonts w:ascii="Calibri" w:eastAsia="Times New Roman" w:hAnsi="Calibri" w:cs="Calibri"/>
                <w:color w:val="000000"/>
                <w:lang w:eastAsia="hr-HR"/>
              </w:rPr>
              <w:t>Primljeni krediti i zajmovi od kreditnih i ostalih financijskih institucija izvan javnog sektora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9CFEF24" w14:textId="77777777" w:rsidR="005405A1" w:rsidRPr="005405A1" w:rsidRDefault="005405A1" w:rsidP="005405A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05A1">
              <w:rPr>
                <w:rFonts w:ascii="Calibri" w:eastAsia="Times New Roman" w:hAnsi="Calibri" w:cs="Calibri"/>
                <w:color w:val="000000"/>
                <w:lang w:eastAsia="hr-HR"/>
              </w:rPr>
              <w:t>10.000,00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9162F84" w14:textId="77777777" w:rsidR="005405A1" w:rsidRPr="005405A1" w:rsidRDefault="005405A1" w:rsidP="005405A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05A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329A31C" w14:textId="77777777" w:rsidR="005405A1" w:rsidRPr="005405A1" w:rsidRDefault="005405A1" w:rsidP="005405A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05A1">
              <w:rPr>
                <w:rFonts w:ascii="Calibri" w:eastAsia="Times New Roman" w:hAnsi="Calibri" w:cs="Calibri"/>
                <w:color w:val="000000"/>
                <w:lang w:eastAsia="hr-HR"/>
              </w:rPr>
              <w:t>90.000,00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F633FF1" w14:textId="77777777" w:rsidR="005405A1" w:rsidRPr="005405A1" w:rsidRDefault="005405A1" w:rsidP="005405A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05A1">
              <w:rPr>
                <w:rFonts w:ascii="Calibri" w:eastAsia="Times New Roman" w:hAnsi="Calibri" w:cs="Calibri"/>
                <w:color w:val="000000"/>
                <w:lang w:eastAsia="hr-HR"/>
              </w:rPr>
              <w:t>900,00%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D98C110" w14:textId="77777777" w:rsidR="005405A1" w:rsidRPr="005405A1" w:rsidRDefault="005405A1" w:rsidP="005405A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05A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405A1" w:rsidRPr="005405A1" w14:paraId="0C845ED2" w14:textId="77777777" w:rsidTr="005405A1">
        <w:trPr>
          <w:trHeight w:val="227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7B80A59" w14:textId="77777777" w:rsidR="005405A1" w:rsidRPr="005405A1" w:rsidRDefault="005405A1" w:rsidP="005405A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05A1">
              <w:rPr>
                <w:rFonts w:ascii="Calibri" w:eastAsia="Times New Roman" w:hAnsi="Calibri" w:cs="Calibri"/>
                <w:color w:val="000000"/>
                <w:lang w:eastAsia="hr-HR"/>
              </w:rPr>
              <w:t>8443</w:t>
            </w:r>
          </w:p>
        </w:tc>
        <w:tc>
          <w:tcPr>
            <w:tcW w:w="223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3A71BB05" w14:textId="77777777" w:rsidR="005405A1" w:rsidRPr="005405A1" w:rsidRDefault="005405A1" w:rsidP="005405A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05A1">
              <w:rPr>
                <w:rFonts w:ascii="Calibri" w:eastAsia="Times New Roman" w:hAnsi="Calibri" w:cs="Calibri"/>
                <w:color w:val="000000"/>
                <w:lang w:eastAsia="hr-HR"/>
              </w:rPr>
              <w:t>Primljeni krediti od tuzemnih kreditnih institucija izvan javnog sektora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8207B9E" w14:textId="77777777" w:rsidR="005405A1" w:rsidRPr="005405A1" w:rsidRDefault="005405A1" w:rsidP="005405A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05A1">
              <w:rPr>
                <w:rFonts w:ascii="Calibri" w:eastAsia="Times New Roman" w:hAnsi="Calibri" w:cs="Calibri"/>
                <w:color w:val="000000"/>
                <w:lang w:eastAsia="hr-HR"/>
              </w:rPr>
              <w:t>10.000,00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1333D34" w14:textId="77777777" w:rsidR="005405A1" w:rsidRPr="005405A1" w:rsidRDefault="005405A1" w:rsidP="005405A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05A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5BFE7CE" w14:textId="77777777" w:rsidR="005405A1" w:rsidRPr="005405A1" w:rsidRDefault="005405A1" w:rsidP="005405A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05A1">
              <w:rPr>
                <w:rFonts w:ascii="Calibri" w:eastAsia="Times New Roman" w:hAnsi="Calibri" w:cs="Calibri"/>
                <w:color w:val="000000"/>
                <w:lang w:eastAsia="hr-HR"/>
              </w:rPr>
              <w:t>90.000,00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E2CA39A" w14:textId="77777777" w:rsidR="005405A1" w:rsidRPr="005405A1" w:rsidRDefault="005405A1" w:rsidP="005405A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05A1">
              <w:rPr>
                <w:rFonts w:ascii="Calibri" w:eastAsia="Times New Roman" w:hAnsi="Calibri" w:cs="Calibri"/>
                <w:color w:val="000000"/>
                <w:lang w:eastAsia="hr-HR"/>
              </w:rPr>
              <w:t>900,00%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18D15A6" w14:textId="77777777" w:rsidR="005405A1" w:rsidRPr="005405A1" w:rsidRDefault="005405A1" w:rsidP="005405A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405A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</w:tbl>
    <w:p w14:paraId="13944451" w14:textId="60D5A314" w:rsidR="005B3C55" w:rsidRDefault="007F5F23" w:rsidP="007F5F23">
      <w:pPr>
        <w:spacing w:before="120" w:after="120" w:line="240" w:lineRule="auto"/>
        <w:jc w:val="both"/>
        <w:rPr>
          <w:rFonts w:cstheme="minorHAnsi"/>
          <w:sz w:val="22"/>
          <w:szCs w:val="22"/>
        </w:rPr>
      </w:pPr>
      <w:r w:rsidRPr="007F5F23">
        <w:rPr>
          <w:rFonts w:cstheme="minorHAnsi"/>
          <w:sz w:val="22"/>
          <w:szCs w:val="22"/>
        </w:rPr>
        <w:t>Primici od zaduživanja odnose se na kratkoročni kredit koji smo ugovorili radi premošćivanja nelikvidnosti prilikom provođenja kapitalnih projekta</w:t>
      </w:r>
      <w:r>
        <w:rPr>
          <w:rFonts w:cstheme="minorHAnsi"/>
          <w:sz w:val="22"/>
          <w:szCs w:val="22"/>
        </w:rPr>
        <w:t>.</w:t>
      </w:r>
    </w:p>
    <w:p w14:paraId="2B417F2A" w14:textId="77777777" w:rsidR="005B3C55" w:rsidRDefault="005B3C55" w:rsidP="00000576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</w:p>
    <w:p w14:paraId="023087EB" w14:textId="77777777" w:rsidR="00E97F5D" w:rsidRPr="002324AF" w:rsidRDefault="00E97F5D" w:rsidP="00165728">
      <w:pPr>
        <w:pStyle w:val="Naslov2"/>
        <w:numPr>
          <w:ilvl w:val="1"/>
          <w:numId w:val="4"/>
        </w:numPr>
        <w:spacing w:before="0" w:after="120"/>
        <w:ind w:left="432"/>
        <w:rPr>
          <w:b/>
          <w:sz w:val="22"/>
        </w:rPr>
      </w:pPr>
      <w:bookmarkStart w:id="18" w:name="_Toc209436500"/>
      <w:r w:rsidRPr="002324AF">
        <w:rPr>
          <w:b/>
          <w:sz w:val="22"/>
        </w:rPr>
        <w:t>RASHODI I IZDACI</w:t>
      </w:r>
      <w:bookmarkEnd w:id="18"/>
    </w:p>
    <w:p w14:paraId="50E19D4F" w14:textId="63134AE1" w:rsidR="00451393" w:rsidRDefault="00A75277" w:rsidP="00451393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010020">
        <w:rPr>
          <w:rFonts w:cstheme="minorHAnsi"/>
          <w:sz w:val="22"/>
          <w:szCs w:val="22"/>
        </w:rPr>
        <w:t xml:space="preserve">Rashode i izdatke </w:t>
      </w:r>
      <w:r w:rsidR="00451393" w:rsidRPr="00010020">
        <w:rPr>
          <w:rFonts w:cstheme="minorHAnsi"/>
          <w:sz w:val="22"/>
          <w:szCs w:val="22"/>
        </w:rPr>
        <w:t xml:space="preserve">dijelimo na rashode poslovanja koji su izvršeni u iznosu od </w:t>
      </w:r>
      <w:r w:rsidR="003E0DE0" w:rsidRPr="003E0DE0">
        <w:rPr>
          <w:rFonts w:cstheme="minorHAnsi"/>
          <w:sz w:val="22"/>
          <w:szCs w:val="22"/>
        </w:rPr>
        <w:t>326.543,16</w:t>
      </w:r>
      <w:r w:rsidR="00A4410C" w:rsidRPr="00010020">
        <w:rPr>
          <w:rFonts w:cstheme="minorHAnsi"/>
          <w:sz w:val="22"/>
          <w:szCs w:val="22"/>
        </w:rPr>
        <w:t xml:space="preserve"> eura</w:t>
      </w:r>
      <w:r w:rsidR="00451393" w:rsidRPr="00010020">
        <w:rPr>
          <w:rFonts w:cstheme="minorHAnsi"/>
          <w:sz w:val="22"/>
          <w:szCs w:val="22"/>
        </w:rPr>
        <w:t xml:space="preserve">, </w:t>
      </w:r>
      <w:r w:rsidRPr="00010020">
        <w:rPr>
          <w:rFonts w:cstheme="minorHAnsi"/>
          <w:sz w:val="22"/>
          <w:szCs w:val="22"/>
        </w:rPr>
        <w:t>zatim</w:t>
      </w:r>
      <w:r w:rsidR="00451393" w:rsidRPr="00010020">
        <w:rPr>
          <w:rFonts w:cstheme="minorHAnsi"/>
          <w:sz w:val="22"/>
          <w:szCs w:val="22"/>
        </w:rPr>
        <w:t xml:space="preserve"> rashode za nabavu nefinancijske imovine koji iznose </w:t>
      </w:r>
      <w:r w:rsidR="003E0DE0" w:rsidRPr="003E0DE0">
        <w:rPr>
          <w:rFonts w:cstheme="minorHAnsi"/>
          <w:sz w:val="22"/>
          <w:szCs w:val="22"/>
        </w:rPr>
        <w:t>57.030,85</w:t>
      </w:r>
      <w:r w:rsidR="003E0DE0">
        <w:rPr>
          <w:rFonts w:cstheme="minorHAnsi"/>
          <w:sz w:val="22"/>
          <w:szCs w:val="22"/>
        </w:rPr>
        <w:t xml:space="preserve"> e</w:t>
      </w:r>
      <w:r w:rsidR="00A4410C" w:rsidRPr="00010020">
        <w:rPr>
          <w:rFonts w:cstheme="minorHAnsi"/>
          <w:sz w:val="22"/>
          <w:szCs w:val="22"/>
        </w:rPr>
        <w:t>ura</w:t>
      </w:r>
      <w:r w:rsidR="00451393" w:rsidRPr="00010020">
        <w:rPr>
          <w:rFonts w:cstheme="minorHAnsi"/>
          <w:sz w:val="22"/>
          <w:szCs w:val="22"/>
        </w:rPr>
        <w:t xml:space="preserve">, </w:t>
      </w:r>
      <w:r w:rsidRPr="00010020">
        <w:rPr>
          <w:rFonts w:cstheme="minorHAnsi"/>
          <w:sz w:val="22"/>
          <w:szCs w:val="22"/>
        </w:rPr>
        <w:t xml:space="preserve">te izdatke za financijsku imovinu i otplatu zajmova </w:t>
      </w:r>
      <w:r w:rsidR="003E0DE0">
        <w:rPr>
          <w:rFonts w:cstheme="minorHAnsi"/>
          <w:sz w:val="22"/>
          <w:szCs w:val="22"/>
        </w:rPr>
        <w:t>koji nisu ostvareni u promatranom razdoblju</w:t>
      </w:r>
      <w:r w:rsidRPr="00010020">
        <w:rPr>
          <w:rFonts w:cstheme="minorHAnsi"/>
          <w:sz w:val="22"/>
          <w:szCs w:val="22"/>
        </w:rPr>
        <w:t>.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6"/>
        <w:gridCol w:w="342"/>
        <w:gridCol w:w="4812"/>
        <w:gridCol w:w="1031"/>
        <w:gridCol w:w="1186"/>
        <w:gridCol w:w="1031"/>
        <w:gridCol w:w="919"/>
        <w:gridCol w:w="919"/>
      </w:tblGrid>
      <w:tr w:rsidR="009867D9" w:rsidRPr="00B77E54" w14:paraId="38F49112" w14:textId="77777777" w:rsidTr="009867D9">
        <w:trPr>
          <w:trHeight w:val="227"/>
        </w:trPr>
        <w:tc>
          <w:tcPr>
            <w:tcW w:w="2568" w:type="pct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E7E6E6"/>
          </w:tcPr>
          <w:p w14:paraId="0653BEFB" w14:textId="1825605B" w:rsidR="009867D9" w:rsidRPr="00B77E54" w:rsidRDefault="009867D9" w:rsidP="00B77E5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color w:val="000000"/>
                <w:lang w:eastAsia="hr-HR"/>
              </w:rPr>
              <w:t>Brojčana oznaka i naziv računa</w:t>
            </w:r>
          </w:p>
        </w:tc>
        <w:tc>
          <w:tcPr>
            <w:tcW w:w="49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29350B65" w14:textId="77777777" w:rsidR="009867D9" w:rsidRDefault="009867D9" w:rsidP="00B77E5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Izvršenje </w:t>
            </w:r>
          </w:p>
          <w:p w14:paraId="55D25858" w14:textId="7A7D04FB" w:rsidR="009867D9" w:rsidRPr="00B77E54" w:rsidRDefault="009867D9" w:rsidP="00B77E5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color w:val="000000"/>
                <w:lang w:eastAsia="hr-HR"/>
              </w:rPr>
              <w:t>I-VI 2024.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01941029" w14:textId="77777777" w:rsidR="009867D9" w:rsidRPr="00B77E54" w:rsidRDefault="009867D9" w:rsidP="00B77E5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color w:val="000000"/>
                <w:lang w:eastAsia="hr-HR"/>
              </w:rPr>
              <w:t>Proračun 2025</w:t>
            </w:r>
          </w:p>
        </w:tc>
        <w:tc>
          <w:tcPr>
            <w:tcW w:w="49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50341339" w14:textId="77777777" w:rsidR="009867D9" w:rsidRDefault="009867D9" w:rsidP="00B77E5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Izvršenje </w:t>
            </w:r>
          </w:p>
          <w:p w14:paraId="283CAB25" w14:textId="7302DF0E" w:rsidR="009867D9" w:rsidRPr="00B77E54" w:rsidRDefault="009867D9" w:rsidP="00B77E5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color w:val="000000"/>
                <w:lang w:eastAsia="hr-HR"/>
              </w:rPr>
              <w:t>I-VI 2025.</w:t>
            </w:r>
          </w:p>
        </w:tc>
        <w:tc>
          <w:tcPr>
            <w:tcW w:w="43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3A7E7166" w14:textId="77777777" w:rsidR="009867D9" w:rsidRPr="00B77E54" w:rsidRDefault="009867D9" w:rsidP="00B77E5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color w:val="000000"/>
                <w:lang w:eastAsia="hr-HR"/>
              </w:rPr>
              <w:t>Indeks (4/2*100)</w:t>
            </w:r>
          </w:p>
        </w:tc>
        <w:tc>
          <w:tcPr>
            <w:tcW w:w="439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1FD13BEC" w14:textId="77777777" w:rsidR="009867D9" w:rsidRPr="00B77E54" w:rsidRDefault="009867D9" w:rsidP="00B77E5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color w:val="000000"/>
                <w:lang w:eastAsia="hr-HR"/>
              </w:rPr>
              <w:t>Indeks (4/3*100)</w:t>
            </w:r>
          </w:p>
        </w:tc>
      </w:tr>
      <w:tr w:rsidR="009867D9" w:rsidRPr="00B77E54" w14:paraId="33565789" w14:textId="77777777" w:rsidTr="009867D9">
        <w:trPr>
          <w:trHeight w:val="227"/>
        </w:trPr>
        <w:tc>
          <w:tcPr>
            <w:tcW w:w="2568" w:type="pct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7E6E6"/>
          </w:tcPr>
          <w:p w14:paraId="196E2C32" w14:textId="0AF3C8D5" w:rsidR="009867D9" w:rsidRPr="00B77E54" w:rsidRDefault="009867D9" w:rsidP="00B77E5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vAlign w:val="center"/>
            <w:hideMark/>
          </w:tcPr>
          <w:p w14:paraId="32A226AC" w14:textId="77777777" w:rsidR="009867D9" w:rsidRPr="00B77E54" w:rsidRDefault="009867D9" w:rsidP="00B77E5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vAlign w:val="center"/>
            <w:hideMark/>
          </w:tcPr>
          <w:p w14:paraId="11B26A48" w14:textId="77777777" w:rsidR="009867D9" w:rsidRPr="00B77E54" w:rsidRDefault="009867D9" w:rsidP="00B77E5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vAlign w:val="center"/>
            <w:hideMark/>
          </w:tcPr>
          <w:p w14:paraId="04A3FED0" w14:textId="77777777" w:rsidR="009867D9" w:rsidRPr="00B77E54" w:rsidRDefault="009867D9" w:rsidP="00B77E5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vAlign w:val="center"/>
            <w:hideMark/>
          </w:tcPr>
          <w:p w14:paraId="22731CF3" w14:textId="77777777" w:rsidR="009867D9" w:rsidRPr="00B77E54" w:rsidRDefault="009867D9" w:rsidP="00B77E5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352A5046" w14:textId="77777777" w:rsidR="009867D9" w:rsidRPr="00B77E54" w:rsidRDefault="009867D9" w:rsidP="00B77E54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</w:tr>
      <w:tr w:rsidR="009867D9" w:rsidRPr="00B77E54" w14:paraId="6798BD7A" w14:textId="77777777" w:rsidTr="009867D9">
        <w:trPr>
          <w:trHeight w:val="227"/>
        </w:trPr>
        <w:tc>
          <w:tcPr>
            <w:tcW w:w="10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268EEE6" w14:textId="77777777" w:rsidR="009867D9" w:rsidRPr="00B77E54" w:rsidRDefault="009867D9" w:rsidP="00B77E54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</w:t>
            </w:r>
          </w:p>
        </w:tc>
        <w:tc>
          <w:tcPr>
            <w:tcW w:w="2465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5EA1B602" w14:textId="1843E3E6" w:rsidR="009867D9" w:rsidRPr="00B77E54" w:rsidRDefault="009867D9" w:rsidP="00B77E54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RASHODI POSLOVANJA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CD05D5D" w14:textId="77777777" w:rsidR="009867D9" w:rsidRPr="00B77E54" w:rsidRDefault="009867D9" w:rsidP="00B77E54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194.532,42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09AB58A" w14:textId="77777777" w:rsidR="009867D9" w:rsidRPr="00B77E54" w:rsidRDefault="009867D9" w:rsidP="00B77E54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872.500,00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A33599C" w14:textId="77777777" w:rsidR="009867D9" w:rsidRPr="00B77E54" w:rsidRDefault="009867D9" w:rsidP="00B77E54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bookmarkStart w:id="19" w:name="_Hlk208307656"/>
            <w:r w:rsidRPr="00B77E5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326.543,16</w:t>
            </w:r>
            <w:bookmarkEnd w:id="19"/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F016D6C" w14:textId="77777777" w:rsidR="009867D9" w:rsidRPr="00B77E54" w:rsidRDefault="009867D9" w:rsidP="00B77E54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167,86%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4CF811B" w14:textId="77777777" w:rsidR="009867D9" w:rsidRPr="00B77E54" w:rsidRDefault="009867D9" w:rsidP="00B77E54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37,43%</w:t>
            </w:r>
          </w:p>
        </w:tc>
      </w:tr>
      <w:tr w:rsidR="009867D9" w:rsidRPr="00B77E54" w14:paraId="2E054EC6" w14:textId="77777777" w:rsidTr="009867D9">
        <w:trPr>
          <w:trHeight w:val="227"/>
        </w:trPr>
        <w:tc>
          <w:tcPr>
            <w:tcW w:w="10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</w:tcPr>
          <w:p w14:paraId="69A9D4E6" w14:textId="300EFA84" w:rsidR="009867D9" w:rsidRPr="00B77E54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375C5473" w14:textId="798D63BF" w:rsidR="009867D9" w:rsidRPr="00B77E54" w:rsidRDefault="009867D9" w:rsidP="009867D9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31</w:t>
            </w:r>
          </w:p>
        </w:tc>
        <w:tc>
          <w:tcPr>
            <w:tcW w:w="230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35964C1" w14:textId="787EE677" w:rsidR="009867D9" w:rsidRPr="00B77E54" w:rsidRDefault="009867D9" w:rsidP="009867D9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Rashodi za zaposlene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77B1ADB" w14:textId="77777777" w:rsidR="009867D9" w:rsidRPr="00B77E54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50.325,09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8C1F5C3" w14:textId="77777777" w:rsidR="009867D9" w:rsidRPr="00B77E54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258.400,00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3FE0823" w14:textId="77777777" w:rsidR="009867D9" w:rsidRPr="00B77E54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124.899,05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38B1FCD" w14:textId="77777777" w:rsidR="009867D9" w:rsidRPr="00B77E54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248,18%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B4FC355" w14:textId="77777777" w:rsidR="009867D9" w:rsidRPr="00B77E54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48,34%</w:t>
            </w:r>
          </w:p>
        </w:tc>
      </w:tr>
      <w:tr w:rsidR="009867D9" w:rsidRPr="00B77E54" w14:paraId="13214AA5" w14:textId="77777777" w:rsidTr="009867D9">
        <w:trPr>
          <w:trHeight w:val="227"/>
        </w:trPr>
        <w:tc>
          <w:tcPr>
            <w:tcW w:w="10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</w:tcPr>
          <w:p w14:paraId="1CABD2EE" w14:textId="49AD79DC" w:rsidR="009867D9" w:rsidRPr="00B77E54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3698B7C4" w14:textId="40389850" w:rsidR="009867D9" w:rsidRPr="00B77E54" w:rsidRDefault="009867D9" w:rsidP="009867D9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32</w:t>
            </w:r>
          </w:p>
        </w:tc>
        <w:tc>
          <w:tcPr>
            <w:tcW w:w="230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6C7B581" w14:textId="6C2084EF" w:rsidR="009867D9" w:rsidRPr="00B77E54" w:rsidRDefault="009867D9" w:rsidP="009867D9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Materijalni rashodi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68ABC74" w14:textId="77777777" w:rsidR="009867D9" w:rsidRPr="00B77E54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118.268,64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36C7686" w14:textId="77777777" w:rsidR="009867D9" w:rsidRPr="00B77E54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452.800,00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30BB7FC" w14:textId="77777777" w:rsidR="009867D9" w:rsidRPr="00B77E54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158.247,97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39E3F6D" w14:textId="77777777" w:rsidR="009867D9" w:rsidRPr="00B77E54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133,80%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8F3FC43" w14:textId="77777777" w:rsidR="009867D9" w:rsidRPr="00B77E54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34,95%</w:t>
            </w:r>
          </w:p>
        </w:tc>
      </w:tr>
      <w:tr w:rsidR="009867D9" w:rsidRPr="00B77E54" w14:paraId="1782090D" w14:textId="77777777" w:rsidTr="009867D9">
        <w:trPr>
          <w:trHeight w:val="227"/>
        </w:trPr>
        <w:tc>
          <w:tcPr>
            <w:tcW w:w="10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</w:tcPr>
          <w:p w14:paraId="7F39472C" w14:textId="1F28D9F2" w:rsidR="009867D9" w:rsidRPr="00B77E54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61CCF376" w14:textId="56380DB4" w:rsidR="009867D9" w:rsidRPr="00B77E54" w:rsidRDefault="009867D9" w:rsidP="009867D9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34</w:t>
            </w:r>
          </w:p>
        </w:tc>
        <w:tc>
          <w:tcPr>
            <w:tcW w:w="230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36C5BC5" w14:textId="1BCEA642" w:rsidR="009867D9" w:rsidRPr="00B77E54" w:rsidRDefault="009867D9" w:rsidP="009867D9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Financijski rashodi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F0966E9" w14:textId="77777777" w:rsidR="009867D9" w:rsidRPr="00B77E54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6.601,39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6BDEA63" w14:textId="77777777" w:rsidR="009867D9" w:rsidRPr="00B77E54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12.900,00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ED5A79D" w14:textId="77777777" w:rsidR="009867D9" w:rsidRPr="00B77E54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8.103,29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58C0F19" w14:textId="77777777" w:rsidR="009867D9" w:rsidRPr="00B77E54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122,75%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92BFC7D" w14:textId="77777777" w:rsidR="009867D9" w:rsidRPr="00B77E54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62,82%</w:t>
            </w:r>
          </w:p>
        </w:tc>
      </w:tr>
      <w:tr w:rsidR="009867D9" w:rsidRPr="00B77E54" w14:paraId="25C642CA" w14:textId="77777777" w:rsidTr="009867D9">
        <w:trPr>
          <w:trHeight w:val="227"/>
        </w:trPr>
        <w:tc>
          <w:tcPr>
            <w:tcW w:w="10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</w:tcPr>
          <w:p w14:paraId="72A1EFB1" w14:textId="7D3DD767" w:rsidR="009867D9" w:rsidRPr="00B77E54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6816B281" w14:textId="3F7287A9" w:rsidR="009867D9" w:rsidRPr="00B77E54" w:rsidRDefault="009867D9" w:rsidP="009867D9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35</w:t>
            </w:r>
          </w:p>
        </w:tc>
        <w:tc>
          <w:tcPr>
            <w:tcW w:w="230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9754D70" w14:textId="0EA4ECA2" w:rsidR="009867D9" w:rsidRPr="00B77E54" w:rsidRDefault="009867D9" w:rsidP="009867D9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Subvencije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428B082" w14:textId="77777777" w:rsidR="009867D9" w:rsidRPr="00B77E54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1.208,70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8083782" w14:textId="77777777" w:rsidR="009867D9" w:rsidRPr="00B77E54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4.000,00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E462642" w14:textId="77777777" w:rsidR="009867D9" w:rsidRPr="00B77E54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4367603" w14:textId="77777777" w:rsidR="009867D9" w:rsidRPr="00B77E54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0,00%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85A283C" w14:textId="77777777" w:rsidR="009867D9" w:rsidRPr="00B77E54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0,00%</w:t>
            </w:r>
          </w:p>
        </w:tc>
      </w:tr>
      <w:tr w:rsidR="009867D9" w:rsidRPr="00B77E54" w14:paraId="6973D9C5" w14:textId="77777777" w:rsidTr="009867D9">
        <w:trPr>
          <w:trHeight w:val="227"/>
        </w:trPr>
        <w:tc>
          <w:tcPr>
            <w:tcW w:w="10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</w:tcPr>
          <w:p w14:paraId="41FD13AD" w14:textId="487D76FD" w:rsidR="009867D9" w:rsidRPr="00B77E54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08EAA068" w14:textId="27CB2CFF" w:rsidR="009867D9" w:rsidRPr="00B77E54" w:rsidRDefault="009867D9" w:rsidP="009867D9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36</w:t>
            </w:r>
          </w:p>
        </w:tc>
        <w:tc>
          <w:tcPr>
            <w:tcW w:w="230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4E8BAF3" w14:textId="49CAECC8" w:rsidR="009867D9" w:rsidRPr="00B77E54" w:rsidRDefault="009867D9" w:rsidP="009867D9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Pomoći dane u inozemstvo i unutar općeg proračuna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F58D3B9" w14:textId="77777777" w:rsidR="009867D9" w:rsidRPr="00B77E54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4.911,54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DBF12B5" w14:textId="77777777" w:rsidR="009867D9" w:rsidRPr="00B77E54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90.500,00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63D93EE" w14:textId="77777777" w:rsidR="009867D9" w:rsidRPr="00B77E54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26.216,44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360D3B4" w14:textId="77777777" w:rsidR="009867D9" w:rsidRPr="00B77E54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533,77%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4A64362" w14:textId="77777777" w:rsidR="009867D9" w:rsidRPr="00B77E54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28,97%</w:t>
            </w:r>
          </w:p>
        </w:tc>
      </w:tr>
      <w:tr w:rsidR="009867D9" w:rsidRPr="00B77E54" w14:paraId="34ACABA1" w14:textId="77777777" w:rsidTr="009867D9">
        <w:trPr>
          <w:trHeight w:val="227"/>
        </w:trPr>
        <w:tc>
          <w:tcPr>
            <w:tcW w:w="10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</w:tcPr>
          <w:p w14:paraId="1C764C3C" w14:textId="104AA965" w:rsidR="009867D9" w:rsidRPr="00B77E54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40B00D75" w14:textId="3889FADE" w:rsidR="009867D9" w:rsidRPr="00B77E54" w:rsidRDefault="009867D9" w:rsidP="009867D9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37</w:t>
            </w:r>
          </w:p>
        </w:tc>
        <w:tc>
          <w:tcPr>
            <w:tcW w:w="230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1576255" w14:textId="2C1870E7" w:rsidR="009867D9" w:rsidRPr="00B77E54" w:rsidRDefault="009867D9" w:rsidP="009867D9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06403C4" w14:textId="77777777" w:rsidR="009867D9" w:rsidRPr="00B77E54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8.355,06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7F1221C" w14:textId="77777777" w:rsidR="009867D9" w:rsidRPr="00B77E54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24.000,00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8B68273" w14:textId="77777777" w:rsidR="009867D9" w:rsidRPr="00B77E54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5.983,29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CB731B7" w14:textId="77777777" w:rsidR="009867D9" w:rsidRPr="00B77E54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71,61%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AFB45AD" w14:textId="77777777" w:rsidR="009867D9" w:rsidRPr="00B77E54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24,93%</w:t>
            </w:r>
          </w:p>
        </w:tc>
      </w:tr>
      <w:tr w:rsidR="009867D9" w:rsidRPr="00B77E54" w14:paraId="3B8B18FD" w14:textId="77777777" w:rsidTr="009867D9">
        <w:trPr>
          <w:trHeight w:val="227"/>
        </w:trPr>
        <w:tc>
          <w:tcPr>
            <w:tcW w:w="10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</w:tcPr>
          <w:p w14:paraId="5F4118A7" w14:textId="1B51473C" w:rsidR="009867D9" w:rsidRPr="00B77E54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6EB0CE92" w14:textId="2069F463" w:rsidR="009867D9" w:rsidRPr="00B77E54" w:rsidRDefault="009867D9" w:rsidP="009867D9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38</w:t>
            </w:r>
          </w:p>
        </w:tc>
        <w:tc>
          <w:tcPr>
            <w:tcW w:w="230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F5B9E5A" w14:textId="3D011C8B" w:rsidR="009867D9" w:rsidRPr="00B77E54" w:rsidRDefault="009867D9" w:rsidP="009867D9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Rashodi za donacije, kazne, naknade šteta i kapitalne pomoći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8D6BACF" w14:textId="77777777" w:rsidR="009867D9" w:rsidRPr="00B77E54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4.862,00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0C9886B" w14:textId="77777777" w:rsidR="009867D9" w:rsidRPr="00B77E54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29.900,00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E8335F5" w14:textId="77777777" w:rsidR="009867D9" w:rsidRPr="00B77E54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3.093,12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AB9BD9C" w14:textId="77777777" w:rsidR="009867D9" w:rsidRPr="00B77E54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63,62%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2AC0010" w14:textId="77777777" w:rsidR="009867D9" w:rsidRPr="00B77E54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10,34%</w:t>
            </w:r>
          </w:p>
        </w:tc>
      </w:tr>
      <w:tr w:rsidR="009867D9" w:rsidRPr="00B77E54" w14:paraId="207494B8" w14:textId="77777777" w:rsidTr="009867D9">
        <w:trPr>
          <w:trHeight w:val="227"/>
        </w:trPr>
        <w:tc>
          <w:tcPr>
            <w:tcW w:w="10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24A7E12" w14:textId="77777777" w:rsidR="009867D9" w:rsidRPr="00B77E54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</w:t>
            </w:r>
          </w:p>
        </w:tc>
        <w:tc>
          <w:tcPr>
            <w:tcW w:w="2465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5ED36269" w14:textId="66CB084A" w:rsidR="009867D9" w:rsidRPr="00B77E54" w:rsidRDefault="009867D9" w:rsidP="009867D9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RASHODI ZA NABAVU NEFINANCIJSKE IMOVINE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E73493B" w14:textId="77777777" w:rsidR="009867D9" w:rsidRPr="00B77E54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164.262,78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7CD5CA3" w14:textId="77777777" w:rsidR="009867D9" w:rsidRPr="00B77E54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1.009.500,00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C67AAF5" w14:textId="77777777" w:rsidR="009867D9" w:rsidRPr="00B77E54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bookmarkStart w:id="20" w:name="_Hlk208307676"/>
            <w:r w:rsidRPr="00B77E5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57.030,85</w:t>
            </w:r>
            <w:bookmarkEnd w:id="20"/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0167FBA" w14:textId="77777777" w:rsidR="009867D9" w:rsidRPr="00B77E54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34,72%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A2ECCD2" w14:textId="77777777" w:rsidR="009867D9" w:rsidRPr="00B77E54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5,65%</w:t>
            </w:r>
          </w:p>
        </w:tc>
      </w:tr>
      <w:tr w:rsidR="009867D9" w:rsidRPr="00B77E54" w14:paraId="662C006D" w14:textId="77777777" w:rsidTr="009867D9">
        <w:trPr>
          <w:trHeight w:val="227"/>
        </w:trPr>
        <w:tc>
          <w:tcPr>
            <w:tcW w:w="10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</w:tcPr>
          <w:p w14:paraId="337A170F" w14:textId="34118FC4" w:rsidR="009867D9" w:rsidRPr="00B77E54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09F17DDF" w14:textId="60254C1D" w:rsidR="009867D9" w:rsidRPr="00B77E54" w:rsidRDefault="009867D9" w:rsidP="009867D9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41</w:t>
            </w:r>
          </w:p>
        </w:tc>
        <w:tc>
          <w:tcPr>
            <w:tcW w:w="230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6DD36779" w14:textId="214C5F52" w:rsidR="009867D9" w:rsidRPr="00B77E54" w:rsidRDefault="009867D9" w:rsidP="009867D9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 xml:space="preserve">Rashodi za nabavu </w:t>
            </w:r>
            <w:proofErr w:type="spellStart"/>
            <w:r w:rsidRPr="00B77E54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neproizvedene</w:t>
            </w:r>
            <w:proofErr w:type="spellEnd"/>
            <w:r w:rsidRPr="00B77E54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 xml:space="preserve"> dugotrajne imovine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23582AB" w14:textId="77777777" w:rsidR="009867D9" w:rsidRPr="00B77E54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9E2C1BF" w14:textId="77777777" w:rsidR="009867D9" w:rsidRPr="00B77E54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110.000,00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B2F9E3E" w14:textId="77777777" w:rsidR="009867D9" w:rsidRPr="00B77E54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20.250,00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CD692E7" w14:textId="77777777" w:rsidR="009867D9" w:rsidRPr="00B77E54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0,00%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ECE94B7" w14:textId="77777777" w:rsidR="009867D9" w:rsidRPr="00B77E54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18,41%</w:t>
            </w:r>
          </w:p>
        </w:tc>
      </w:tr>
      <w:tr w:rsidR="009867D9" w:rsidRPr="00B77E54" w14:paraId="2FD88CD3" w14:textId="77777777" w:rsidTr="009867D9">
        <w:trPr>
          <w:trHeight w:val="227"/>
        </w:trPr>
        <w:tc>
          <w:tcPr>
            <w:tcW w:w="10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</w:tcPr>
          <w:p w14:paraId="41194E88" w14:textId="20C52F57" w:rsidR="009867D9" w:rsidRPr="00B77E54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2E1339C4" w14:textId="11E5E7EE" w:rsidR="009867D9" w:rsidRPr="00B77E54" w:rsidRDefault="009867D9" w:rsidP="009867D9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42</w:t>
            </w:r>
          </w:p>
        </w:tc>
        <w:tc>
          <w:tcPr>
            <w:tcW w:w="230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2E697B1" w14:textId="10768684" w:rsidR="009867D9" w:rsidRPr="00B77E54" w:rsidRDefault="009867D9" w:rsidP="009867D9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Rashodi za nabavu proizvedene dugotrajne imovine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356246F" w14:textId="77777777" w:rsidR="009867D9" w:rsidRPr="00B77E54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162.562,78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AC0ACEF" w14:textId="77777777" w:rsidR="009867D9" w:rsidRPr="00B77E54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842.500,00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CB75245" w14:textId="77777777" w:rsidR="009867D9" w:rsidRPr="00B77E54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36.780,85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FDC0E3D" w14:textId="77777777" w:rsidR="009867D9" w:rsidRPr="00B77E54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22,63%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81B0697" w14:textId="77777777" w:rsidR="009867D9" w:rsidRPr="00B77E54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4,37%</w:t>
            </w:r>
          </w:p>
        </w:tc>
      </w:tr>
      <w:tr w:rsidR="009867D9" w:rsidRPr="00B77E54" w14:paraId="2089FF73" w14:textId="77777777" w:rsidTr="009867D9">
        <w:trPr>
          <w:trHeight w:val="227"/>
        </w:trPr>
        <w:tc>
          <w:tcPr>
            <w:tcW w:w="10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</w:tcPr>
          <w:p w14:paraId="219F3673" w14:textId="47B5EDFA" w:rsidR="009867D9" w:rsidRPr="00B77E54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1F7E7668" w14:textId="3BFF3E73" w:rsidR="009867D9" w:rsidRPr="00B77E54" w:rsidRDefault="009867D9" w:rsidP="009867D9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45</w:t>
            </w:r>
          </w:p>
        </w:tc>
        <w:tc>
          <w:tcPr>
            <w:tcW w:w="230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3F88B4D" w14:textId="329BD671" w:rsidR="009867D9" w:rsidRPr="00B77E54" w:rsidRDefault="009867D9" w:rsidP="009867D9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Rashodi za dodatna ulaganja na nefinancijskoj imovini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1050BA6" w14:textId="77777777" w:rsidR="009867D9" w:rsidRPr="00B77E54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1.700,00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99CB0C0" w14:textId="77777777" w:rsidR="009867D9" w:rsidRPr="00B77E54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57.000,00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B35A098" w14:textId="77777777" w:rsidR="009867D9" w:rsidRPr="00B77E54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35EE82D" w14:textId="77777777" w:rsidR="009867D9" w:rsidRPr="00B77E54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0,00%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AFDAAB0" w14:textId="77777777" w:rsidR="009867D9" w:rsidRPr="00B77E54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0,00%</w:t>
            </w:r>
          </w:p>
        </w:tc>
      </w:tr>
      <w:tr w:rsidR="009867D9" w:rsidRPr="00B77E54" w14:paraId="5ACF7AF2" w14:textId="77777777" w:rsidTr="007867D5">
        <w:trPr>
          <w:trHeight w:val="227"/>
        </w:trPr>
        <w:tc>
          <w:tcPr>
            <w:tcW w:w="10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</w:tcPr>
          <w:p w14:paraId="17275AC7" w14:textId="2F106FC0" w:rsidR="009867D9" w:rsidRPr="00B77E54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5</w:t>
            </w:r>
          </w:p>
        </w:tc>
        <w:tc>
          <w:tcPr>
            <w:tcW w:w="246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29C3BCF9" w14:textId="11CDFAAC" w:rsidR="009867D9" w:rsidRPr="00B77E54" w:rsidRDefault="009867D9" w:rsidP="009867D9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IZDACI ZA FINANCIJSKU IMOVINU I OTPLATE ZAJMOVA</w:t>
            </w:r>
          </w:p>
        </w:tc>
        <w:tc>
          <w:tcPr>
            <w:tcW w:w="49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</w:tcPr>
          <w:p w14:paraId="553572A0" w14:textId="4CA36C6D" w:rsidR="009867D9" w:rsidRPr="00B77E54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34.066,15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</w:tcPr>
          <w:p w14:paraId="7E7B399D" w14:textId="3483703C" w:rsidR="009867D9" w:rsidRPr="00B77E54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665.000,00</w:t>
            </w:r>
          </w:p>
        </w:tc>
        <w:tc>
          <w:tcPr>
            <w:tcW w:w="49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</w:tcPr>
          <w:p w14:paraId="585E45E7" w14:textId="31757115" w:rsidR="009867D9" w:rsidRPr="00B77E54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0,00</w:t>
            </w:r>
          </w:p>
        </w:tc>
        <w:tc>
          <w:tcPr>
            <w:tcW w:w="43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</w:tcPr>
          <w:p w14:paraId="33AC9126" w14:textId="018010D1" w:rsidR="009867D9" w:rsidRPr="00B77E54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0,00%</w:t>
            </w:r>
          </w:p>
        </w:tc>
        <w:tc>
          <w:tcPr>
            <w:tcW w:w="4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7E493DA9" w14:textId="2911E1C4" w:rsidR="009867D9" w:rsidRPr="00B77E54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0,00%</w:t>
            </w:r>
          </w:p>
        </w:tc>
      </w:tr>
      <w:tr w:rsidR="009867D9" w:rsidRPr="00B77E54" w14:paraId="49C12219" w14:textId="77777777" w:rsidTr="009867D9">
        <w:trPr>
          <w:trHeight w:val="227"/>
        </w:trPr>
        <w:tc>
          <w:tcPr>
            <w:tcW w:w="10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</w:tcPr>
          <w:p w14:paraId="37515865" w14:textId="77777777" w:rsidR="009867D9" w:rsidRPr="00B77E54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46B8F115" w14:textId="0B88B59F" w:rsidR="009867D9" w:rsidRPr="009867D9" w:rsidRDefault="009867D9" w:rsidP="009867D9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53</w:t>
            </w:r>
          </w:p>
        </w:tc>
        <w:tc>
          <w:tcPr>
            <w:tcW w:w="230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40059D07" w14:textId="6035A174" w:rsidR="009867D9" w:rsidRPr="009867D9" w:rsidRDefault="009867D9" w:rsidP="009867D9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9867D9">
              <w:rPr>
                <w:rFonts w:ascii="Calibri" w:hAnsi="Calibri" w:cs="Calibri"/>
                <w:bCs/>
                <w:color w:val="000000"/>
              </w:rPr>
              <w:t>Izdaci za ulaganja financijske instrumente – dionice i udjele u glavnici</w:t>
            </w:r>
          </w:p>
        </w:tc>
        <w:tc>
          <w:tcPr>
            <w:tcW w:w="49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</w:tcPr>
          <w:p w14:paraId="3265ECB0" w14:textId="69575BE7" w:rsidR="009867D9" w:rsidRPr="009867D9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9867D9">
              <w:rPr>
                <w:rFonts w:ascii="Calibri" w:hAnsi="Calibri" w:cs="Calibri"/>
                <w:bCs/>
                <w:color w:val="000000"/>
              </w:rPr>
              <w:t>0,00</w:t>
            </w:r>
          </w:p>
        </w:tc>
        <w:tc>
          <w:tcPr>
            <w:tcW w:w="56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</w:tcPr>
          <w:p w14:paraId="0B35D8EF" w14:textId="576D8FF9" w:rsidR="009867D9" w:rsidRPr="009867D9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9867D9">
              <w:rPr>
                <w:rFonts w:ascii="Calibri" w:hAnsi="Calibri" w:cs="Calibri"/>
                <w:bCs/>
                <w:color w:val="000000"/>
              </w:rPr>
              <w:t>50.000,00</w:t>
            </w:r>
          </w:p>
        </w:tc>
        <w:tc>
          <w:tcPr>
            <w:tcW w:w="49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</w:tcPr>
          <w:p w14:paraId="2BCFF6C2" w14:textId="2139223E" w:rsidR="009867D9" w:rsidRPr="009867D9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9867D9">
              <w:rPr>
                <w:rFonts w:ascii="Calibri" w:hAnsi="Calibri" w:cs="Calibri"/>
                <w:bCs/>
                <w:color w:val="000000"/>
              </w:rPr>
              <w:t>0,00</w:t>
            </w:r>
          </w:p>
        </w:tc>
        <w:tc>
          <w:tcPr>
            <w:tcW w:w="43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</w:tcPr>
          <w:p w14:paraId="643A3136" w14:textId="27E375BF" w:rsidR="009867D9" w:rsidRPr="009867D9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9867D9">
              <w:rPr>
                <w:rFonts w:ascii="Calibri" w:hAnsi="Calibri" w:cs="Calibri"/>
                <w:bCs/>
                <w:color w:val="000000"/>
              </w:rPr>
              <w:t>0,00%</w:t>
            </w:r>
          </w:p>
        </w:tc>
        <w:tc>
          <w:tcPr>
            <w:tcW w:w="43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277EE26C" w14:textId="5C28F654" w:rsidR="009867D9" w:rsidRPr="009867D9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9867D9">
              <w:rPr>
                <w:rFonts w:ascii="Calibri" w:hAnsi="Calibri" w:cs="Calibri"/>
                <w:bCs/>
                <w:color w:val="000000"/>
              </w:rPr>
              <w:t>0,00%</w:t>
            </w:r>
          </w:p>
        </w:tc>
      </w:tr>
      <w:tr w:rsidR="009867D9" w:rsidRPr="00B77E54" w14:paraId="569B9D15" w14:textId="77777777" w:rsidTr="009867D9">
        <w:trPr>
          <w:trHeight w:val="227"/>
        </w:trPr>
        <w:tc>
          <w:tcPr>
            <w:tcW w:w="10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</w:tcPr>
          <w:p w14:paraId="290AA85F" w14:textId="77777777" w:rsidR="009867D9" w:rsidRPr="00B77E54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</w:p>
        </w:tc>
        <w:tc>
          <w:tcPr>
            <w:tcW w:w="16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18E9FAFD" w14:textId="695F2936" w:rsidR="009867D9" w:rsidRPr="009867D9" w:rsidRDefault="009867D9" w:rsidP="009867D9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Cs/>
                <w:color w:val="000000"/>
                <w:lang w:eastAsia="hr-HR"/>
              </w:rPr>
              <w:t>54</w:t>
            </w:r>
          </w:p>
        </w:tc>
        <w:tc>
          <w:tcPr>
            <w:tcW w:w="230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</w:tcPr>
          <w:p w14:paraId="634E7168" w14:textId="047FC007" w:rsidR="009867D9" w:rsidRPr="009867D9" w:rsidRDefault="009867D9" w:rsidP="009867D9">
            <w:pPr>
              <w:spacing w:before="0" w:after="0" w:line="240" w:lineRule="auto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9867D9">
              <w:rPr>
                <w:rFonts w:ascii="Calibri" w:hAnsi="Calibri" w:cs="Calibri"/>
                <w:bCs/>
                <w:color w:val="000000"/>
              </w:rPr>
              <w:t>Izdaci za otplatu glavnice primljenih kredita i zajmova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</w:tcPr>
          <w:p w14:paraId="53619725" w14:textId="2A7EDB78" w:rsidR="009867D9" w:rsidRPr="009867D9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9867D9">
              <w:rPr>
                <w:rFonts w:ascii="Calibri" w:hAnsi="Calibri" w:cs="Calibri"/>
                <w:bCs/>
                <w:color w:val="000000"/>
              </w:rPr>
              <w:t>34.066,15</w:t>
            </w:r>
          </w:p>
        </w:tc>
        <w:tc>
          <w:tcPr>
            <w:tcW w:w="56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</w:tcPr>
          <w:p w14:paraId="61F043A7" w14:textId="5FB65419" w:rsidR="009867D9" w:rsidRPr="009867D9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9867D9">
              <w:rPr>
                <w:rFonts w:ascii="Calibri" w:hAnsi="Calibri" w:cs="Calibri"/>
                <w:bCs/>
                <w:color w:val="000000"/>
              </w:rPr>
              <w:t>615.000,00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</w:tcPr>
          <w:p w14:paraId="59603602" w14:textId="70C52430" w:rsidR="009867D9" w:rsidRPr="009867D9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9867D9">
              <w:rPr>
                <w:rFonts w:ascii="Calibri" w:hAnsi="Calibri" w:cs="Calibri"/>
                <w:bCs/>
                <w:color w:val="000000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</w:tcPr>
          <w:p w14:paraId="5B04CA7C" w14:textId="560A2EDC" w:rsidR="009867D9" w:rsidRPr="009867D9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9867D9">
              <w:rPr>
                <w:rFonts w:ascii="Calibri" w:hAnsi="Calibri" w:cs="Calibri"/>
                <w:bCs/>
                <w:color w:val="000000"/>
              </w:rPr>
              <w:t>0,00%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14:paraId="61D8D621" w14:textId="5FB49DA3" w:rsidR="009867D9" w:rsidRPr="009867D9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Cs/>
                <w:color w:val="000000"/>
                <w:lang w:eastAsia="hr-HR"/>
              </w:rPr>
            </w:pPr>
            <w:r w:rsidRPr="009867D9">
              <w:rPr>
                <w:rFonts w:ascii="Calibri" w:hAnsi="Calibri" w:cs="Calibri"/>
                <w:bCs/>
                <w:color w:val="000000"/>
              </w:rPr>
              <w:t>0,00%</w:t>
            </w:r>
          </w:p>
        </w:tc>
      </w:tr>
      <w:tr w:rsidR="009867D9" w:rsidRPr="00B77E54" w14:paraId="3A7736D5" w14:textId="77777777" w:rsidTr="003E0DE0">
        <w:trPr>
          <w:trHeight w:val="227"/>
        </w:trPr>
        <w:tc>
          <w:tcPr>
            <w:tcW w:w="2568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7E6E6" w:themeFill="background2"/>
          </w:tcPr>
          <w:p w14:paraId="6919ACA0" w14:textId="519146F3" w:rsidR="009867D9" w:rsidRPr="00B77E54" w:rsidRDefault="009867D9" w:rsidP="009867D9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B77E54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SVEUKUPNO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19006BC4" w14:textId="385C8E66" w:rsidR="009867D9" w:rsidRPr="00B77E54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392.861,35</w:t>
            </w:r>
          </w:p>
        </w:tc>
        <w:tc>
          <w:tcPr>
            <w:tcW w:w="56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4032F86C" w14:textId="25F57D65" w:rsidR="009867D9" w:rsidRPr="00B77E54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2.547.000,00</w:t>
            </w:r>
          </w:p>
        </w:tc>
        <w:tc>
          <w:tcPr>
            <w:tcW w:w="49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7E71263D" w14:textId="67D619EF" w:rsidR="009867D9" w:rsidRPr="00B77E54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383.574,01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7E6E6" w:themeFill="background2"/>
            <w:noWrap/>
            <w:vAlign w:val="bottom"/>
            <w:hideMark/>
          </w:tcPr>
          <w:p w14:paraId="55D4FEA6" w14:textId="747084FC" w:rsidR="009867D9" w:rsidRPr="00B77E54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97,64%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noWrap/>
            <w:vAlign w:val="bottom"/>
            <w:hideMark/>
          </w:tcPr>
          <w:p w14:paraId="673A1652" w14:textId="002FA8E0" w:rsidR="009867D9" w:rsidRPr="00B77E54" w:rsidRDefault="009867D9" w:rsidP="009867D9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15,06%</w:t>
            </w:r>
          </w:p>
        </w:tc>
      </w:tr>
    </w:tbl>
    <w:p w14:paraId="1119EA04" w14:textId="6ECCD0AA" w:rsidR="00F87BC8" w:rsidRDefault="00F87BC8" w:rsidP="00543F71">
      <w:pPr>
        <w:spacing w:before="120" w:after="120" w:line="240" w:lineRule="auto"/>
        <w:jc w:val="both"/>
        <w:rPr>
          <w:rFonts w:cstheme="minorHAnsi"/>
          <w:sz w:val="22"/>
          <w:szCs w:val="22"/>
        </w:rPr>
      </w:pPr>
      <w:r w:rsidRPr="00F87BC8">
        <w:rPr>
          <w:rFonts w:cstheme="minorHAnsi"/>
          <w:sz w:val="22"/>
          <w:szCs w:val="22"/>
        </w:rPr>
        <w:t>U strukturi ukupno izvršenih rashoda i izdataka proračuna najveći je udjel rashoda</w:t>
      </w:r>
      <w:r w:rsidR="00543F71">
        <w:rPr>
          <w:rFonts w:cstheme="minorHAnsi"/>
          <w:sz w:val="22"/>
          <w:szCs w:val="22"/>
        </w:rPr>
        <w:t xml:space="preserve"> </w:t>
      </w:r>
      <w:r w:rsidRPr="00F87BC8">
        <w:rPr>
          <w:rFonts w:cstheme="minorHAnsi"/>
          <w:sz w:val="22"/>
          <w:szCs w:val="22"/>
        </w:rPr>
        <w:t xml:space="preserve">poslovanja s </w:t>
      </w:r>
      <w:r w:rsidR="00023F08">
        <w:rPr>
          <w:rFonts w:cstheme="minorHAnsi"/>
          <w:sz w:val="22"/>
          <w:szCs w:val="22"/>
        </w:rPr>
        <w:t>85,13</w:t>
      </w:r>
      <w:r w:rsidRPr="00F87BC8">
        <w:rPr>
          <w:rFonts w:cstheme="minorHAnsi"/>
          <w:sz w:val="22"/>
          <w:szCs w:val="22"/>
        </w:rPr>
        <w:t xml:space="preserve">%, </w:t>
      </w:r>
      <w:r w:rsidR="00023F08">
        <w:rPr>
          <w:rFonts w:cstheme="minorHAnsi"/>
          <w:sz w:val="22"/>
          <w:szCs w:val="22"/>
        </w:rPr>
        <w:t>a</w:t>
      </w:r>
      <w:r w:rsidRPr="00F87BC8">
        <w:rPr>
          <w:rFonts w:cstheme="minorHAnsi"/>
          <w:sz w:val="22"/>
          <w:szCs w:val="22"/>
        </w:rPr>
        <w:t xml:space="preserve"> </w:t>
      </w:r>
      <w:r w:rsidR="00543F71" w:rsidRPr="00F87BC8">
        <w:rPr>
          <w:rFonts w:cstheme="minorHAnsi"/>
          <w:sz w:val="22"/>
          <w:szCs w:val="22"/>
        </w:rPr>
        <w:t xml:space="preserve">rashodi za nabavu nefinancijske imovine </w:t>
      </w:r>
      <w:r w:rsidR="00023F08">
        <w:rPr>
          <w:rFonts w:cstheme="minorHAnsi"/>
          <w:sz w:val="22"/>
          <w:szCs w:val="22"/>
        </w:rPr>
        <w:t xml:space="preserve">imaju </w:t>
      </w:r>
      <w:r w:rsidRPr="00F87BC8">
        <w:rPr>
          <w:rFonts w:cstheme="minorHAnsi"/>
          <w:sz w:val="22"/>
          <w:szCs w:val="22"/>
        </w:rPr>
        <w:t>ud</w:t>
      </w:r>
      <w:r w:rsidR="00023F08">
        <w:rPr>
          <w:rFonts w:cstheme="minorHAnsi"/>
          <w:sz w:val="22"/>
          <w:szCs w:val="22"/>
        </w:rPr>
        <w:t>io</w:t>
      </w:r>
      <w:r w:rsidRPr="00F87BC8">
        <w:rPr>
          <w:rFonts w:cstheme="minorHAnsi"/>
          <w:sz w:val="22"/>
          <w:szCs w:val="22"/>
        </w:rPr>
        <w:t xml:space="preserve"> od </w:t>
      </w:r>
      <w:r w:rsidR="00543F71">
        <w:rPr>
          <w:rFonts w:cstheme="minorHAnsi"/>
          <w:sz w:val="22"/>
          <w:szCs w:val="22"/>
        </w:rPr>
        <w:t>1</w:t>
      </w:r>
      <w:r w:rsidR="00023F08">
        <w:rPr>
          <w:rFonts w:cstheme="minorHAnsi"/>
          <w:sz w:val="22"/>
          <w:szCs w:val="22"/>
        </w:rPr>
        <w:t>4</w:t>
      </w:r>
      <w:r w:rsidR="00543F71">
        <w:rPr>
          <w:rFonts w:cstheme="minorHAnsi"/>
          <w:sz w:val="22"/>
          <w:szCs w:val="22"/>
        </w:rPr>
        <w:t>,8</w:t>
      </w:r>
      <w:r w:rsidR="00023F08">
        <w:rPr>
          <w:rFonts w:cstheme="minorHAnsi"/>
          <w:sz w:val="22"/>
          <w:szCs w:val="22"/>
        </w:rPr>
        <w:t>7</w:t>
      </w:r>
      <w:r w:rsidRPr="00F87BC8">
        <w:rPr>
          <w:rFonts w:cstheme="minorHAnsi"/>
          <w:sz w:val="22"/>
          <w:szCs w:val="22"/>
        </w:rPr>
        <w:t>%.</w:t>
      </w:r>
    </w:p>
    <w:p w14:paraId="6F4BBC2D" w14:textId="4B7410F2" w:rsidR="00780673" w:rsidRPr="002324AF" w:rsidRDefault="002324AF" w:rsidP="00165728">
      <w:pPr>
        <w:pStyle w:val="Naslov3"/>
        <w:numPr>
          <w:ilvl w:val="2"/>
          <w:numId w:val="4"/>
        </w:numPr>
        <w:spacing w:before="0" w:after="120"/>
        <w:ind w:left="504"/>
        <w:rPr>
          <w:b/>
          <w:sz w:val="22"/>
        </w:rPr>
      </w:pPr>
      <w:bookmarkStart w:id="21" w:name="_Toc209436501"/>
      <w:r w:rsidRPr="002324AF">
        <w:rPr>
          <w:b/>
          <w:caps w:val="0"/>
          <w:sz w:val="22"/>
        </w:rPr>
        <w:lastRenderedPageBreak/>
        <w:t>Rashodi za zaposlene</w:t>
      </w:r>
      <w:bookmarkEnd w:id="21"/>
    </w:p>
    <w:p w14:paraId="2E4061FE" w14:textId="115C51AE" w:rsidR="005B60B0" w:rsidRDefault="00407245" w:rsidP="00000576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000576">
        <w:rPr>
          <w:rFonts w:cstheme="minorHAnsi"/>
          <w:sz w:val="22"/>
          <w:szCs w:val="22"/>
        </w:rPr>
        <w:t xml:space="preserve">Rashodi za zaposlene realizirani su u visini od </w:t>
      </w:r>
      <w:r w:rsidR="001729C5" w:rsidRPr="001729C5">
        <w:rPr>
          <w:rFonts w:cstheme="minorHAnsi"/>
          <w:sz w:val="22"/>
          <w:szCs w:val="22"/>
        </w:rPr>
        <w:t>124.899,05</w:t>
      </w:r>
      <w:r w:rsidR="00DD52B2">
        <w:rPr>
          <w:rFonts w:cstheme="minorHAnsi"/>
          <w:sz w:val="22"/>
          <w:szCs w:val="22"/>
        </w:rPr>
        <w:t xml:space="preserve"> eura</w:t>
      </w:r>
      <w:r w:rsidR="00D43500" w:rsidRPr="00000576">
        <w:rPr>
          <w:rFonts w:cstheme="minorHAnsi"/>
          <w:sz w:val="22"/>
          <w:szCs w:val="22"/>
        </w:rPr>
        <w:t>, a</w:t>
      </w:r>
      <w:r w:rsidRPr="00000576">
        <w:rPr>
          <w:rFonts w:cstheme="minorHAnsi"/>
          <w:sz w:val="22"/>
          <w:szCs w:val="22"/>
        </w:rPr>
        <w:t xml:space="preserve"> </w:t>
      </w:r>
      <w:r w:rsidR="00D43500" w:rsidRPr="00000576">
        <w:rPr>
          <w:rFonts w:cstheme="minorHAnsi"/>
          <w:sz w:val="22"/>
          <w:szCs w:val="22"/>
        </w:rPr>
        <w:t>o</w:t>
      </w:r>
      <w:r w:rsidRPr="00000576">
        <w:rPr>
          <w:rFonts w:cstheme="minorHAnsi"/>
          <w:sz w:val="22"/>
          <w:szCs w:val="22"/>
        </w:rPr>
        <w:t xml:space="preserve">buhvaćaju rashode za bruto plaće, za doprinose na plaće te ostale rashode za zaposlene u tijelima </w:t>
      </w:r>
      <w:r w:rsidR="00D43500" w:rsidRPr="00000576">
        <w:rPr>
          <w:rFonts w:cstheme="minorHAnsi"/>
          <w:sz w:val="22"/>
          <w:szCs w:val="22"/>
        </w:rPr>
        <w:t>Općine Levanjska Varoš.</w:t>
      </w:r>
      <w:r w:rsidR="00434207" w:rsidRPr="00000576">
        <w:rPr>
          <w:rFonts w:cstheme="minorHAnsi"/>
          <w:sz w:val="22"/>
          <w:szCs w:val="22"/>
        </w:rPr>
        <w:t xml:space="preserve"> 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3"/>
        <w:gridCol w:w="4839"/>
        <w:gridCol w:w="991"/>
        <w:gridCol w:w="1198"/>
        <w:gridCol w:w="1031"/>
        <w:gridCol w:w="919"/>
        <w:gridCol w:w="935"/>
      </w:tblGrid>
      <w:tr w:rsidR="001729C5" w:rsidRPr="00023F08" w14:paraId="7F00D3F1" w14:textId="77777777" w:rsidTr="001729C5">
        <w:trPr>
          <w:trHeight w:val="227"/>
        </w:trPr>
        <w:tc>
          <w:tcPr>
            <w:tcW w:w="2574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A8C9F14" w14:textId="77777777" w:rsidR="00023F08" w:rsidRPr="00023F08" w:rsidRDefault="00023F08" w:rsidP="00023F0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3F08">
              <w:rPr>
                <w:rFonts w:ascii="Calibri" w:eastAsia="Times New Roman" w:hAnsi="Calibri" w:cs="Calibri"/>
                <w:color w:val="000000"/>
                <w:lang w:eastAsia="hr-HR"/>
              </w:rPr>
              <w:t>Brojčana oznaka i naziv računa</w:t>
            </w:r>
          </w:p>
        </w:tc>
        <w:tc>
          <w:tcPr>
            <w:tcW w:w="47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790DE099" w14:textId="77777777" w:rsidR="001729C5" w:rsidRDefault="00023F08" w:rsidP="00023F0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3F08">
              <w:rPr>
                <w:rFonts w:ascii="Calibri" w:eastAsia="Times New Roman" w:hAnsi="Calibri" w:cs="Calibri"/>
                <w:color w:val="000000"/>
                <w:lang w:eastAsia="hr-HR"/>
              </w:rPr>
              <w:t>Izvršenje</w:t>
            </w:r>
          </w:p>
          <w:p w14:paraId="1FBF94D7" w14:textId="17D24781" w:rsidR="00023F08" w:rsidRPr="00023F08" w:rsidRDefault="00023F08" w:rsidP="00023F0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3F08">
              <w:rPr>
                <w:rFonts w:ascii="Calibri" w:eastAsia="Times New Roman" w:hAnsi="Calibri" w:cs="Calibri"/>
                <w:color w:val="000000"/>
                <w:lang w:eastAsia="hr-HR"/>
              </w:rPr>
              <w:t>I-VI 2024.</w:t>
            </w:r>
          </w:p>
        </w:tc>
        <w:tc>
          <w:tcPr>
            <w:tcW w:w="57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13BDB607" w14:textId="77777777" w:rsidR="00023F08" w:rsidRPr="00023F08" w:rsidRDefault="00023F08" w:rsidP="00023F0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3F08">
              <w:rPr>
                <w:rFonts w:ascii="Calibri" w:eastAsia="Times New Roman" w:hAnsi="Calibri" w:cs="Calibri"/>
                <w:color w:val="000000"/>
                <w:lang w:eastAsia="hr-HR"/>
              </w:rPr>
              <w:t>Proračun 2025</w:t>
            </w:r>
          </w:p>
        </w:tc>
        <w:tc>
          <w:tcPr>
            <w:tcW w:w="493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0D09A810" w14:textId="77777777" w:rsidR="001729C5" w:rsidRDefault="00023F08" w:rsidP="00023F0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3F08">
              <w:rPr>
                <w:rFonts w:ascii="Calibri" w:eastAsia="Times New Roman" w:hAnsi="Calibri" w:cs="Calibri"/>
                <w:color w:val="000000"/>
                <w:lang w:eastAsia="hr-HR"/>
              </w:rPr>
              <w:t>Izvršenje</w:t>
            </w:r>
          </w:p>
          <w:p w14:paraId="6FFCEDAD" w14:textId="364EEDE8" w:rsidR="00023F08" w:rsidRPr="00023F08" w:rsidRDefault="00023F08" w:rsidP="00023F0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3F08">
              <w:rPr>
                <w:rFonts w:ascii="Calibri" w:eastAsia="Times New Roman" w:hAnsi="Calibri" w:cs="Calibri"/>
                <w:color w:val="000000"/>
                <w:lang w:eastAsia="hr-HR"/>
              </w:rPr>
              <w:t>I-VI 2025.</w:t>
            </w:r>
          </w:p>
        </w:tc>
        <w:tc>
          <w:tcPr>
            <w:tcW w:w="43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5536FC75" w14:textId="77777777" w:rsidR="00023F08" w:rsidRPr="00023F08" w:rsidRDefault="00023F08" w:rsidP="00023F0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3F08">
              <w:rPr>
                <w:rFonts w:ascii="Calibri" w:eastAsia="Times New Roman" w:hAnsi="Calibri" w:cs="Calibri"/>
                <w:color w:val="000000"/>
                <w:lang w:eastAsia="hr-HR"/>
              </w:rPr>
              <w:t>Indeks (4/2*100)</w:t>
            </w:r>
          </w:p>
        </w:tc>
        <w:tc>
          <w:tcPr>
            <w:tcW w:w="447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39800306" w14:textId="77777777" w:rsidR="00023F08" w:rsidRPr="00023F08" w:rsidRDefault="00023F08" w:rsidP="00023F0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3F08">
              <w:rPr>
                <w:rFonts w:ascii="Calibri" w:eastAsia="Times New Roman" w:hAnsi="Calibri" w:cs="Calibri"/>
                <w:color w:val="000000"/>
                <w:lang w:eastAsia="hr-HR"/>
              </w:rPr>
              <w:t>Indeks (4/3*100)</w:t>
            </w:r>
          </w:p>
        </w:tc>
      </w:tr>
      <w:tr w:rsidR="001729C5" w:rsidRPr="00023F08" w14:paraId="19BFECE1" w14:textId="77777777" w:rsidTr="001729C5">
        <w:trPr>
          <w:trHeight w:val="227"/>
        </w:trPr>
        <w:tc>
          <w:tcPr>
            <w:tcW w:w="2574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7E6E6"/>
            <w:noWrap/>
            <w:vAlign w:val="center"/>
            <w:hideMark/>
          </w:tcPr>
          <w:p w14:paraId="5DCFD1CA" w14:textId="77777777" w:rsidR="00023F08" w:rsidRPr="00023F08" w:rsidRDefault="00023F08" w:rsidP="00023F0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3F08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vAlign w:val="center"/>
            <w:hideMark/>
          </w:tcPr>
          <w:p w14:paraId="08B01B5C" w14:textId="77777777" w:rsidR="00023F08" w:rsidRPr="00023F08" w:rsidRDefault="00023F08" w:rsidP="00023F0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3F08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vAlign w:val="center"/>
            <w:hideMark/>
          </w:tcPr>
          <w:p w14:paraId="67165E41" w14:textId="77777777" w:rsidR="00023F08" w:rsidRPr="00023F08" w:rsidRDefault="00023F08" w:rsidP="00023F0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3F08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vAlign w:val="center"/>
            <w:hideMark/>
          </w:tcPr>
          <w:p w14:paraId="602AC88A" w14:textId="77777777" w:rsidR="00023F08" w:rsidRPr="00023F08" w:rsidRDefault="00023F08" w:rsidP="00023F0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3F08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vAlign w:val="center"/>
            <w:hideMark/>
          </w:tcPr>
          <w:p w14:paraId="645C49AC" w14:textId="77777777" w:rsidR="00023F08" w:rsidRPr="00023F08" w:rsidRDefault="00023F08" w:rsidP="00023F0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3F08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438328C5" w14:textId="77777777" w:rsidR="00023F08" w:rsidRPr="00023F08" w:rsidRDefault="00023F08" w:rsidP="00023F0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3F08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</w:tr>
      <w:tr w:rsidR="001729C5" w:rsidRPr="00023F08" w14:paraId="196D19E3" w14:textId="77777777" w:rsidTr="001729C5">
        <w:trPr>
          <w:trHeight w:val="227"/>
        </w:trPr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2EF2902" w14:textId="77777777" w:rsidR="00023F08" w:rsidRPr="00023F08" w:rsidRDefault="00023F08" w:rsidP="00023F0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23F0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31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C05378C" w14:textId="77777777" w:rsidR="00023F08" w:rsidRPr="00023F08" w:rsidRDefault="00023F08" w:rsidP="00023F08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23F0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Rashodi za zaposlene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F30DF95" w14:textId="77777777" w:rsidR="00023F08" w:rsidRPr="00023F08" w:rsidRDefault="00023F08" w:rsidP="00023F0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23F0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50.325,09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0FE3C49" w14:textId="77777777" w:rsidR="00023F08" w:rsidRPr="00023F08" w:rsidRDefault="00023F08" w:rsidP="00023F0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23F0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258.400,00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45B783D" w14:textId="77777777" w:rsidR="00023F08" w:rsidRPr="00023F08" w:rsidRDefault="00023F08" w:rsidP="00023F0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23F0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124.899,05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4208D15" w14:textId="77777777" w:rsidR="00023F08" w:rsidRPr="00023F08" w:rsidRDefault="00023F08" w:rsidP="00023F0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23F0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248,18%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FD13F0F" w14:textId="77777777" w:rsidR="00023F08" w:rsidRPr="00023F08" w:rsidRDefault="00023F08" w:rsidP="00023F0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23F0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48,34%</w:t>
            </w:r>
          </w:p>
        </w:tc>
      </w:tr>
      <w:tr w:rsidR="001729C5" w:rsidRPr="00023F08" w14:paraId="39A98AB2" w14:textId="77777777" w:rsidTr="001729C5">
        <w:trPr>
          <w:trHeight w:val="227"/>
        </w:trPr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986E1A0" w14:textId="77777777" w:rsidR="00023F08" w:rsidRPr="00023F08" w:rsidRDefault="00023F08" w:rsidP="00023F0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3F08">
              <w:rPr>
                <w:rFonts w:ascii="Calibri" w:eastAsia="Times New Roman" w:hAnsi="Calibri" w:cs="Calibri"/>
                <w:color w:val="000000"/>
                <w:lang w:eastAsia="hr-HR"/>
              </w:rPr>
              <w:t>311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168A6788" w14:textId="77777777" w:rsidR="00023F08" w:rsidRPr="00023F08" w:rsidRDefault="00023F08" w:rsidP="00023F0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3F08">
              <w:rPr>
                <w:rFonts w:ascii="Calibri" w:eastAsia="Times New Roman" w:hAnsi="Calibri" w:cs="Calibri"/>
                <w:color w:val="000000"/>
                <w:lang w:eastAsia="hr-HR"/>
              </w:rPr>
              <w:t>Plaće (Bruto)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6B28CEB" w14:textId="77777777" w:rsidR="00023F08" w:rsidRPr="00023F08" w:rsidRDefault="00023F08" w:rsidP="00023F0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3F08">
              <w:rPr>
                <w:rFonts w:ascii="Calibri" w:eastAsia="Times New Roman" w:hAnsi="Calibri" w:cs="Calibri"/>
                <w:color w:val="000000"/>
                <w:lang w:eastAsia="hr-HR"/>
              </w:rPr>
              <w:t>42.854,21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AD4FC46" w14:textId="77777777" w:rsidR="00023F08" w:rsidRPr="00023F08" w:rsidRDefault="00023F08" w:rsidP="00023F0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3F0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7DEC84B" w14:textId="77777777" w:rsidR="00023F08" w:rsidRPr="00023F08" w:rsidRDefault="00023F08" w:rsidP="00023F0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3F08">
              <w:rPr>
                <w:rFonts w:ascii="Calibri" w:eastAsia="Times New Roman" w:hAnsi="Calibri" w:cs="Calibri"/>
                <w:color w:val="000000"/>
                <w:lang w:eastAsia="hr-HR"/>
              </w:rPr>
              <w:t>107.209,47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8B6CE4C" w14:textId="77777777" w:rsidR="00023F08" w:rsidRPr="00023F08" w:rsidRDefault="00023F08" w:rsidP="00023F0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3F08">
              <w:rPr>
                <w:rFonts w:ascii="Calibri" w:eastAsia="Times New Roman" w:hAnsi="Calibri" w:cs="Calibri"/>
                <w:color w:val="000000"/>
                <w:lang w:eastAsia="hr-HR"/>
              </w:rPr>
              <w:t>250,17%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815068F" w14:textId="77777777" w:rsidR="00023F08" w:rsidRPr="00023F08" w:rsidRDefault="00023F08" w:rsidP="00023F0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3F0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1729C5" w:rsidRPr="00023F08" w14:paraId="58482510" w14:textId="77777777" w:rsidTr="001729C5">
        <w:trPr>
          <w:trHeight w:val="227"/>
        </w:trPr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83A93F9" w14:textId="77777777" w:rsidR="00023F08" w:rsidRPr="00023F08" w:rsidRDefault="00023F08" w:rsidP="00023F0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3F08">
              <w:rPr>
                <w:rFonts w:ascii="Calibri" w:eastAsia="Times New Roman" w:hAnsi="Calibri" w:cs="Calibri"/>
                <w:color w:val="000000"/>
                <w:lang w:eastAsia="hr-HR"/>
              </w:rPr>
              <w:t>3111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3A4B91F9" w14:textId="77777777" w:rsidR="00023F08" w:rsidRPr="00023F08" w:rsidRDefault="00023F08" w:rsidP="00023F0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3F08">
              <w:rPr>
                <w:rFonts w:ascii="Calibri" w:eastAsia="Times New Roman" w:hAnsi="Calibri" w:cs="Calibri"/>
                <w:color w:val="000000"/>
                <w:lang w:eastAsia="hr-HR"/>
              </w:rPr>
              <w:t>Plaće za redovan rad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02BC11F" w14:textId="77777777" w:rsidR="00023F08" w:rsidRPr="00023F08" w:rsidRDefault="00023F08" w:rsidP="00023F0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3F08">
              <w:rPr>
                <w:rFonts w:ascii="Calibri" w:eastAsia="Times New Roman" w:hAnsi="Calibri" w:cs="Calibri"/>
                <w:color w:val="000000"/>
                <w:lang w:eastAsia="hr-HR"/>
              </w:rPr>
              <w:t>42.854,21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99C7690" w14:textId="77777777" w:rsidR="00023F08" w:rsidRPr="00023F08" w:rsidRDefault="00023F08" w:rsidP="00023F0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3F0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27D43E8" w14:textId="77777777" w:rsidR="00023F08" w:rsidRPr="00023F08" w:rsidRDefault="00023F08" w:rsidP="00023F0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3F08">
              <w:rPr>
                <w:rFonts w:ascii="Calibri" w:eastAsia="Times New Roman" w:hAnsi="Calibri" w:cs="Calibri"/>
                <w:color w:val="000000"/>
                <w:lang w:eastAsia="hr-HR"/>
              </w:rPr>
              <w:t>107.209,47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AA32274" w14:textId="77777777" w:rsidR="00023F08" w:rsidRPr="00023F08" w:rsidRDefault="00023F08" w:rsidP="00023F0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3F08">
              <w:rPr>
                <w:rFonts w:ascii="Calibri" w:eastAsia="Times New Roman" w:hAnsi="Calibri" w:cs="Calibri"/>
                <w:color w:val="000000"/>
                <w:lang w:eastAsia="hr-HR"/>
              </w:rPr>
              <w:t>250,17%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F6D89B0" w14:textId="77777777" w:rsidR="00023F08" w:rsidRPr="00023F08" w:rsidRDefault="00023F08" w:rsidP="00023F0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3F0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1729C5" w:rsidRPr="00023F08" w14:paraId="1606F431" w14:textId="77777777" w:rsidTr="001729C5">
        <w:trPr>
          <w:trHeight w:val="227"/>
        </w:trPr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2C2C807" w14:textId="77777777" w:rsidR="00023F08" w:rsidRPr="00023F08" w:rsidRDefault="00023F08" w:rsidP="00023F0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3F08">
              <w:rPr>
                <w:rFonts w:ascii="Calibri" w:eastAsia="Times New Roman" w:hAnsi="Calibri" w:cs="Calibri"/>
                <w:color w:val="000000"/>
                <w:lang w:eastAsia="hr-HR"/>
              </w:rPr>
              <w:t>312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65809FFD" w14:textId="77777777" w:rsidR="00023F08" w:rsidRPr="00023F08" w:rsidRDefault="00023F08" w:rsidP="00023F0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3F08">
              <w:rPr>
                <w:rFonts w:ascii="Calibri" w:eastAsia="Times New Roman" w:hAnsi="Calibri" w:cs="Calibri"/>
                <w:color w:val="000000"/>
                <w:lang w:eastAsia="hr-HR"/>
              </w:rPr>
              <w:t>Ostali rashodi za zaposlene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28698E3" w14:textId="77777777" w:rsidR="00023F08" w:rsidRPr="00023F08" w:rsidRDefault="00023F08" w:rsidP="00023F0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3F08">
              <w:rPr>
                <w:rFonts w:ascii="Calibri" w:eastAsia="Times New Roman" w:hAnsi="Calibri" w:cs="Calibri"/>
                <w:color w:val="000000"/>
                <w:lang w:eastAsia="hr-HR"/>
              </w:rPr>
              <w:t>400,00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0A3E620" w14:textId="77777777" w:rsidR="00023F08" w:rsidRPr="00023F08" w:rsidRDefault="00023F08" w:rsidP="00023F0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3F0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AC0332A" w14:textId="77777777" w:rsidR="00023F08" w:rsidRPr="00023F08" w:rsidRDefault="00023F08" w:rsidP="00023F0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3F08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A77AE6B" w14:textId="77777777" w:rsidR="00023F08" w:rsidRPr="00023F08" w:rsidRDefault="00023F08" w:rsidP="00023F0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3F08">
              <w:rPr>
                <w:rFonts w:ascii="Calibri" w:eastAsia="Times New Roman" w:hAnsi="Calibri" w:cs="Calibri"/>
                <w:color w:val="000000"/>
                <w:lang w:eastAsia="hr-HR"/>
              </w:rPr>
              <w:t>0,00%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C6B28BE" w14:textId="77777777" w:rsidR="00023F08" w:rsidRPr="00023F08" w:rsidRDefault="00023F08" w:rsidP="00023F0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3F0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1729C5" w:rsidRPr="00023F08" w14:paraId="15814915" w14:textId="77777777" w:rsidTr="001729C5">
        <w:trPr>
          <w:trHeight w:val="227"/>
        </w:trPr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3D2B63F" w14:textId="77777777" w:rsidR="00023F08" w:rsidRPr="00023F08" w:rsidRDefault="00023F08" w:rsidP="00023F0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3F08">
              <w:rPr>
                <w:rFonts w:ascii="Calibri" w:eastAsia="Times New Roman" w:hAnsi="Calibri" w:cs="Calibri"/>
                <w:color w:val="000000"/>
                <w:lang w:eastAsia="hr-HR"/>
              </w:rPr>
              <w:t>3121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65A65C6F" w14:textId="77777777" w:rsidR="00023F08" w:rsidRPr="00023F08" w:rsidRDefault="00023F08" w:rsidP="00023F0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3F08">
              <w:rPr>
                <w:rFonts w:ascii="Calibri" w:eastAsia="Times New Roman" w:hAnsi="Calibri" w:cs="Calibri"/>
                <w:color w:val="000000"/>
                <w:lang w:eastAsia="hr-HR"/>
              </w:rPr>
              <w:t>Ostali rashodi za zaposlene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A350E74" w14:textId="77777777" w:rsidR="00023F08" w:rsidRPr="00023F08" w:rsidRDefault="00023F08" w:rsidP="00023F0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3F08">
              <w:rPr>
                <w:rFonts w:ascii="Calibri" w:eastAsia="Times New Roman" w:hAnsi="Calibri" w:cs="Calibri"/>
                <w:color w:val="000000"/>
                <w:lang w:eastAsia="hr-HR"/>
              </w:rPr>
              <w:t>400,00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07842D9" w14:textId="77777777" w:rsidR="00023F08" w:rsidRPr="00023F08" w:rsidRDefault="00023F08" w:rsidP="00023F0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3F0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0A935FB" w14:textId="77777777" w:rsidR="00023F08" w:rsidRPr="00023F08" w:rsidRDefault="00023F08" w:rsidP="00023F0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3F08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688AC09" w14:textId="77777777" w:rsidR="00023F08" w:rsidRPr="00023F08" w:rsidRDefault="00023F08" w:rsidP="00023F0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3F08">
              <w:rPr>
                <w:rFonts w:ascii="Calibri" w:eastAsia="Times New Roman" w:hAnsi="Calibri" w:cs="Calibri"/>
                <w:color w:val="000000"/>
                <w:lang w:eastAsia="hr-HR"/>
              </w:rPr>
              <w:t>0,00%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43CA48B" w14:textId="77777777" w:rsidR="00023F08" w:rsidRPr="00023F08" w:rsidRDefault="00023F08" w:rsidP="00023F0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3F0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1729C5" w:rsidRPr="00023F08" w14:paraId="0EDCD651" w14:textId="77777777" w:rsidTr="001729C5">
        <w:trPr>
          <w:trHeight w:val="227"/>
        </w:trPr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BDD6347" w14:textId="77777777" w:rsidR="00023F08" w:rsidRPr="00023F08" w:rsidRDefault="00023F08" w:rsidP="00023F0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3F08">
              <w:rPr>
                <w:rFonts w:ascii="Calibri" w:eastAsia="Times New Roman" w:hAnsi="Calibri" w:cs="Calibri"/>
                <w:color w:val="000000"/>
                <w:lang w:eastAsia="hr-HR"/>
              </w:rPr>
              <w:t>313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17365A8F" w14:textId="77777777" w:rsidR="00023F08" w:rsidRPr="00023F08" w:rsidRDefault="00023F08" w:rsidP="00023F0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3F08">
              <w:rPr>
                <w:rFonts w:ascii="Calibri" w:eastAsia="Times New Roman" w:hAnsi="Calibri" w:cs="Calibri"/>
                <w:color w:val="000000"/>
                <w:lang w:eastAsia="hr-HR"/>
              </w:rPr>
              <w:t>Doprinosi na plaće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B3CE988" w14:textId="77777777" w:rsidR="00023F08" w:rsidRPr="00023F08" w:rsidRDefault="00023F08" w:rsidP="00023F0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3F08">
              <w:rPr>
                <w:rFonts w:ascii="Calibri" w:eastAsia="Times New Roman" w:hAnsi="Calibri" w:cs="Calibri"/>
                <w:color w:val="000000"/>
                <w:lang w:eastAsia="hr-HR"/>
              </w:rPr>
              <w:t>7.070,88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AD7C81F" w14:textId="77777777" w:rsidR="00023F08" w:rsidRPr="00023F08" w:rsidRDefault="00023F08" w:rsidP="00023F0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3F0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3250C34" w14:textId="77777777" w:rsidR="00023F08" w:rsidRPr="00023F08" w:rsidRDefault="00023F08" w:rsidP="00023F0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3F08">
              <w:rPr>
                <w:rFonts w:ascii="Calibri" w:eastAsia="Times New Roman" w:hAnsi="Calibri" w:cs="Calibri"/>
                <w:color w:val="000000"/>
                <w:lang w:eastAsia="hr-HR"/>
              </w:rPr>
              <w:t>17.689,58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F51F08C" w14:textId="77777777" w:rsidR="00023F08" w:rsidRPr="00023F08" w:rsidRDefault="00023F08" w:rsidP="00023F0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3F08">
              <w:rPr>
                <w:rFonts w:ascii="Calibri" w:eastAsia="Times New Roman" w:hAnsi="Calibri" w:cs="Calibri"/>
                <w:color w:val="000000"/>
                <w:lang w:eastAsia="hr-HR"/>
              </w:rPr>
              <w:t>250,18%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585F38A" w14:textId="77777777" w:rsidR="00023F08" w:rsidRPr="00023F08" w:rsidRDefault="00023F08" w:rsidP="00023F0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3F0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1729C5" w:rsidRPr="00023F08" w14:paraId="04ABFF37" w14:textId="77777777" w:rsidTr="001729C5">
        <w:trPr>
          <w:trHeight w:val="227"/>
        </w:trPr>
        <w:tc>
          <w:tcPr>
            <w:tcW w:w="2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916AB74" w14:textId="77777777" w:rsidR="00023F08" w:rsidRPr="00023F08" w:rsidRDefault="00023F08" w:rsidP="00023F0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3F08">
              <w:rPr>
                <w:rFonts w:ascii="Calibri" w:eastAsia="Times New Roman" w:hAnsi="Calibri" w:cs="Calibri"/>
                <w:color w:val="000000"/>
                <w:lang w:eastAsia="hr-HR"/>
              </w:rPr>
              <w:t>3132</w:t>
            </w:r>
          </w:p>
        </w:tc>
        <w:tc>
          <w:tcPr>
            <w:tcW w:w="231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05BC6CAB" w14:textId="77777777" w:rsidR="00023F08" w:rsidRPr="00023F08" w:rsidRDefault="00023F08" w:rsidP="00023F0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3F08">
              <w:rPr>
                <w:rFonts w:ascii="Calibri" w:eastAsia="Times New Roman" w:hAnsi="Calibri" w:cs="Calibri"/>
                <w:color w:val="000000"/>
                <w:lang w:eastAsia="hr-HR"/>
              </w:rPr>
              <w:t>Doprinosi za obvezno zdravstveno osiguranje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8A18256" w14:textId="77777777" w:rsidR="00023F08" w:rsidRPr="00023F08" w:rsidRDefault="00023F08" w:rsidP="00023F0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3F08">
              <w:rPr>
                <w:rFonts w:ascii="Calibri" w:eastAsia="Times New Roman" w:hAnsi="Calibri" w:cs="Calibri"/>
                <w:color w:val="000000"/>
                <w:lang w:eastAsia="hr-HR"/>
              </w:rPr>
              <w:t>7.070,88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711E925" w14:textId="77777777" w:rsidR="00023F08" w:rsidRPr="00023F08" w:rsidRDefault="00023F08" w:rsidP="00023F0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3F0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52A0A5A" w14:textId="77777777" w:rsidR="00023F08" w:rsidRPr="00023F08" w:rsidRDefault="00023F08" w:rsidP="00023F0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3F08">
              <w:rPr>
                <w:rFonts w:ascii="Calibri" w:eastAsia="Times New Roman" w:hAnsi="Calibri" w:cs="Calibri"/>
                <w:color w:val="000000"/>
                <w:lang w:eastAsia="hr-HR"/>
              </w:rPr>
              <w:t>17.689,58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8DC1DB4" w14:textId="77777777" w:rsidR="00023F08" w:rsidRPr="00023F08" w:rsidRDefault="00023F08" w:rsidP="00023F0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3F08">
              <w:rPr>
                <w:rFonts w:ascii="Calibri" w:eastAsia="Times New Roman" w:hAnsi="Calibri" w:cs="Calibri"/>
                <w:color w:val="000000"/>
                <w:lang w:eastAsia="hr-HR"/>
              </w:rPr>
              <w:t>250,18%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F6C314C" w14:textId="77777777" w:rsidR="00023F08" w:rsidRPr="00023F08" w:rsidRDefault="00023F08" w:rsidP="00023F0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23F0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</w:tbl>
    <w:p w14:paraId="5BBD6916" w14:textId="68380E9A" w:rsidR="00F45183" w:rsidRDefault="00F45183" w:rsidP="005E5669">
      <w:pPr>
        <w:spacing w:before="120" w:after="120" w:line="24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Rashodi za zaposlene su </w:t>
      </w:r>
      <w:r w:rsidR="001729C5">
        <w:rPr>
          <w:rFonts w:cstheme="minorHAnsi"/>
          <w:sz w:val="22"/>
          <w:szCs w:val="22"/>
        </w:rPr>
        <w:t>povećani</w:t>
      </w:r>
      <w:r w:rsidR="00DD52B2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 xml:space="preserve">za </w:t>
      </w:r>
      <w:r w:rsidR="001729C5">
        <w:rPr>
          <w:rFonts w:cstheme="minorHAnsi"/>
          <w:sz w:val="22"/>
          <w:szCs w:val="22"/>
        </w:rPr>
        <w:t>148,18</w:t>
      </w:r>
      <w:r>
        <w:rPr>
          <w:rFonts w:cstheme="minorHAnsi"/>
          <w:sz w:val="22"/>
          <w:szCs w:val="22"/>
        </w:rPr>
        <w:t xml:space="preserve">% u odnosu na </w:t>
      </w:r>
      <w:r w:rsidR="001729C5">
        <w:rPr>
          <w:rFonts w:cstheme="minorHAnsi"/>
          <w:sz w:val="22"/>
          <w:szCs w:val="22"/>
        </w:rPr>
        <w:t xml:space="preserve">isto razdoblje </w:t>
      </w:r>
      <w:r>
        <w:rPr>
          <w:rFonts w:cstheme="minorHAnsi"/>
          <w:sz w:val="22"/>
          <w:szCs w:val="22"/>
        </w:rPr>
        <w:t>prethodn</w:t>
      </w:r>
      <w:r w:rsidR="001729C5">
        <w:rPr>
          <w:rFonts w:cstheme="minorHAnsi"/>
          <w:sz w:val="22"/>
          <w:szCs w:val="22"/>
        </w:rPr>
        <w:t>e</w:t>
      </w:r>
      <w:r>
        <w:rPr>
          <w:rFonts w:cstheme="minorHAnsi"/>
          <w:sz w:val="22"/>
          <w:szCs w:val="22"/>
        </w:rPr>
        <w:t xml:space="preserve"> godin</w:t>
      </w:r>
      <w:r w:rsidR="001729C5">
        <w:rPr>
          <w:rFonts w:cstheme="minorHAnsi"/>
          <w:sz w:val="22"/>
          <w:szCs w:val="22"/>
        </w:rPr>
        <w:t>e</w:t>
      </w:r>
      <w:r w:rsidR="00C60B99">
        <w:rPr>
          <w:rFonts w:cstheme="minorHAnsi"/>
          <w:sz w:val="22"/>
          <w:szCs w:val="22"/>
        </w:rPr>
        <w:t xml:space="preserve"> uglavnom</w:t>
      </w:r>
      <w:r w:rsidR="00E31984">
        <w:rPr>
          <w:rFonts w:cstheme="minorHAnsi"/>
          <w:sz w:val="22"/>
          <w:szCs w:val="22"/>
        </w:rPr>
        <w:t xml:space="preserve"> </w:t>
      </w:r>
      <w:r w:rsidR="00C60B99">
        <w:rPr>
          <w:rFonts w:cstheme="minorHAnsi"/>
          <w:sz w:val="22"/>
          <w:szCs w:val="22"/>
        </w:rPr>
        <w:t>zbog zaposlenih na p</w:t>
      </w:r>
      <w:r w:rsidR="00093626">
        <w:rPr>
          <w:rFonts w:cstheme="minorHAnsi"/>
          <w:sz w:val="22"/>
          <w:szCs w:val="22"/>
        </w:rPr>
        <w:t>rojekt</w:t>
      </w:r>
      <w:r w:rsidR="00C60B99">
        <w:rPr>
          <w:rFonts w:cstheme="minorHAnsi"/>
          <w:sz w:val="22"/>
          <w:szCs w:val="22"/>
        </w:rPr>
        <w:t>u</w:t>
      </w:r>
      <w:r w:rsidR="00093626">
        <w:rPr>
          <w:rFonts w:cstheme="minorHAnsi"/>
          <w:sz w:val="22"/>
          <w:szCs w:val="22"/>
        </w:rPr>
        <w:t xml:space="preserve"> „Zaželi</w:t>
      </w:r>
      <w:r w:rsidR="001729C5">
        <w:rPr>
          <w:rFonts w:cstheme="minorHAnsi"/>
          <w:sz w:val="22"/>
          <w:szCs w:val="22"/>
        </w:rPr>
        <w:t>“</w:t>
      </w:r>
      <w:r w:rsidR="00C60B99">
        <w:rPr>
          <w:rFonts w:cstheme="minorHAnsi"/>
          <w:sz w:val="22"/>
          <w:szCs w:val="22"/>
        </w:rPr>
        <w:t>,</w:t>
      </w:r>
      <w:r w:rsidR="00093626">
        <w:rPr>
          <w:rFonts w:cstheme="minorHAnsi"/>
          <w:sz w:val="22"/>
          <w:szCs w:val="22"/>
        </w:rPr>
        <w:t xml:space="preserve"> </w:t>
      </w:r>
      <w:r w:rsidR="00C60B99">
        <w:rPr>
          <w:rFonts w:cstheme="minorHAnsi"/>
          <w:sz w:val="22"/>
          <w:szCs w:val="22"/>
        </w:rPr>
        <w:t xml:space="preserve">koji se </w:t>
      </w:r>
      <w:r w:rsidR="001729C5">
        <w:rPr>
          <w:rFonts w:cstheme="minorHAnsi"/>
          <w:sz w:val="22"/>
          <w:szCs w:val="22"/>
        </w:rPr>
        <w:t xml:space="preserve">počeo </w:t>
      </w:r>
      <w:r w:rsidR="00093626">
        <w:rPr>
          <w:rFonts w:cstheme="minorHAnsi"/>
          <w:sz w:val="22"/>
          <w:szCs w:val="22"/>
        </w:rPr>
        <w:t>provodi</w:t>
      </w:r>
      <w:r w:rsidR="001729C5">
        <w:rPr>
          <w:rFonts w:cstheme="minorHAnsi"/>
          <w:sz w:val="22"/>
          <w:szCs w:val="22"/>
        </w:rPr>
        <w:t>ti</w:t>
      </w:r>
      <w:r w:rsidR="00093626">
        <w:rPr>
          <w:rFonts w:cstheme="minorHAnsi"/>
          <w:sz w:val="22"/>
          <w:szCs w:val="22"/>
        </w:rPr>
        <w:t xml:space="preserve"> u </w:t>
      </w:r>
      <w:r w:rsidR="001729C5">
        <w:rPr>
          <w:rFonts w:cstheme="minorHAnsi"/>
          <w:sz w:val="22"/>
          <w:szCs w:val="22"/>
        </w:rPr>
        <w:t>drugoj</w:t>
      </w:r>
      <w:r w:rsidR="00093626">
        <w:rPr>
          <w:rFonts w:cstheme="minorHAnsi"/>
          <w:sz w:val="22"/>
          <w:szCs w:val="22"/>
        </w:rPr>
        <w:t xml:space="preserve"> polovici </w:t>
      </w:r>
      <w:r w:rsidR="001729C5">
        <w:rPr>
          <w:rFonts w:cstheme="minorHAnsi"/>
          <w:sz w:val="22"/>
          <w:szCs w:val="22"/>
        </w:rPr>
        <w:t>prošle</w:t>
      </w:r>
      <w:r w:rsidR="00093626">
        <w:rPr>
          <w:rFonts w:cstheme="minorHAnsi"/>
          <w:sz w:val="22"/>
          <w:szCs w:val="22"/>
        </w:rPr>
        <w:t xml:space="preserve"> godine</w:t>
      </w:r>
      <w:r w:rsidR="00C60B99">
        <w:rPr>
          <w:rFonts w:cstheme="minorHAnsi"/>
          <w:sz w:val="22"/>
          <w:szCs w:val="22"/>
        </w:rPr>
        <w:t>.</w:t>
      </w:r>
    </w:p>
    <w:p w14:paraId="406A1ED7" w14:textId="1A11E534" w:rsidR="00C60B99" w:rsidRPr="00000576" w:rsidRDefault="00C60B99" w:rsidP="00C60B99">
      <w:pPr>
        <w:spacing w:before="0" w:after="0" w:line="240" w:lineRule="auto"/>
        <w:rPr>
          <w:rFonts w:cstheme="minorHAnsi"/>
          <w:sz w:val="22"/>
          <w:szCs w:val="22"/>
        </w:rPr>
      </w:pPr>
      <w:r w:rsidRPr="00000576">
        <w:rPr>
          <w:rFonts w:cstheme="minorHAnsi"/>
          <w:sz w:val="22"/>
          <w:szCs w:val="22"/>
        </w:rPr>
        <w:t xml:space="preserve">Plaće za zaposlene u iznosu od </w:t>
      </w:r>
      <w:r w:rsidRPr="00C60B99">
        <w:rPr>
          <w:rFonts w:cstheme="minorHAnsi"/>
          <w:sz w:val="22"/>
          <w:szCs w:val="22"/>
        </w:rPr>
        <w:t>107.209,47</w:t>
      </w:r>
      <w:r>
        <w:rPr>
          <w:rFonts w:cstheme="minorHAnsi"/>
          <w:sz w:val="22"/>
          <w:szCs w:val="22"/>
        </w:rPr>
        <w:t xml:space="preserve"> eura</w:t>
      </w:r>
      <w:r w:rsidRPr="00000576">
        <w:rPr>
          <w:rFonts w:cstheme="minorHAnsi"/>
          <w:sz w:val="22"/>
          <w:szCs w:val="22"/>
        </w:rPr>
        <w:t xml:space="preserve"> mogu </w:t>
      </w:r>
      <w:r>
        <w:rPr>
          <w:rFonts w:cstheme="minorHAnsi"/>
          <w:sz w:val="22"/>
          <w:szCs w:val="22"/>
        </w:rPr>
        <w:t xml:space="preserve">se </w:t>
      </w:r>
      <w:r w:rsidRPr="00000576">
        <w:rPr>
          <w:rFonts w:cstheme="minorHAnsi"/>
          <w:sz w:val="22"/>
          <w:szCs w:val="22"/>
        </w:rPr>
        <w:t>raščlaniti na:</w:t>
      </w:r>
    </w:p>
    <w:p w14:paraId="422E0296" w14:textId="6C3DF1C9" w:rsidR="00C60B99" w:rsidRDefault="00C60B99" w:rsidP="00C60B99">
      <w:pPr>
        <w:pStyle w:val="Odlomakpopisa"/>
        <w:numPr>
          <w:ilvl w:val="0"/>
          <w:numId w:val="2"/>
        </w:numPr>
        <w:tabs>
          <w:tab w:val="right" w:leader="dot" w:pos="10466"/>
        </w:tabs>
        <w:spacing w:before="0" w:after="0" w:line="240" w:lineRule="auto"/>
        <w:contextualSpacing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Plaće dužnosnika</w:t>
      </w:r>
      <w:r>
        <w:rPr>
          <w:rFonts w:cstheme="minorHAnsi"/>
          <w:sz w:val="22"/>
          <w:szCs w:val="22"/>
        </w:rPr>
        <w:tab/>
      </w:r>
      <w:r w:rsidRPr="00C60B99">
        <w:rPr>
          <w:rFonts w:cstheme="minorHAnsi"/>
          <w:sz w:val="22"/>
          <w:szCs w:val="22"/>
        </w:rPr>
        <w:t>17.049,26</w:t>
      </w:r>
    </w:p>
    <w:p w14:paraId="7A25FE38" w14:textId="5E6194D3" w:rsidR="00C60B99" w:rsidRPr="005B60B0" w:rsidRDefault="00C60B99" w:rsidP="00C60B99">
      <w:pPr>
        <w:pStyle w:val="Odlomakpopisa"/>
        <w:numPr>
          <w:ilvl w:val="0"/>
          <w:numId w:val="2"/>
        </w:numPr>
        <w:tabs>
          <w:tab w:val="right" w:leader="dot" w:pos="10466"/>
        </w:tabs>
        <w:spacing w:before="0" w:after="0" w:line="240" w:lineRule="auto"/>
        <w:contextualSpacing w:val="0"/>
        <w:rPr>
          <w:rFonts w:cstheme="minorHAnsi"/>
          <w:sz w:val="22"/>
          <w:szCs w:val="22"/>
        </w:rPr>
      </w:pPr>
      <w:r w:rsidRPr="005B60B0">
        <w:rPr>
          <w:rFonts w:cstheme="minorHAnsi"/>
          <w:sz w:val="22"/>
          <w:szCs w:val="22"/>
        </w:rPr>
        <w:t xml:space="preserve">Plaće za zaposlene u </w:t>
      </w:r>
      <w:r>
        <w:rPr>
          <w:rFonts w:cstheme="minorHAnsi"/>
          <w:sz w:val="22"/>
          <w:szCs w:val="22"/>
        </w:rPr>
        <w:t>upravnim tijelima</w:t>
      </w:r>
      <w:r w:rsidRPr="005B60B0">
        <w:rPr>
          <w:rFonts w:cstheme="minorHAnsi"/>
          <w:sz w:val="22"/>
          <w:szCs w:val="22"/>
        </w:rPr>
        <w:tab/>
      </w:r>
      <w:r w:rsidRPr="00C60B99">
        <w:rPr>
          <w:rFonts w:cstheme="minorHAnsi"/>
          <w:sz w:val="22"/>
          <w:szCs w:val="22"/>
        </w:rPr>
        <w:t>34.896,09</w:t>
      </w:r>
    </w:p>
    <w:p w14:paraId="1E96A05C" w14:textId="4603FA85" w:rsidR="00C60B99" w:rsidRDefault="00C60B99" w:rsidP="00C60B99">
      <w:pPr>
        <w:pStyle w:val="Odlomakpopisa"/>
        <w:numPr>
          <w:ilvl w:val="0"/>
          <w:numId w:val="2"/>
        </w:numPr>
        <w:tabs>
          <w:tab w:val="right" w:leader="dot" w:pos="10466"/>
        </w:tabs>
        <w:spacing w:before="0" w:after="0" w:line="240" w:lineRule="auto"/>
        <w:contextualSpacing w:val="0"/>
        <w:rPr>
          <w:rFonts w:cstheme="minorHAnsi"/>
          <w:sz w:val="22"/>
          <w:szCs w:val="22"/>
        </w:rPr>
      </w:pPr>
      <w:r w:rsidRPr="005B60B0">
        <w:rPr>
          <w:rFonts w:cstheme="minorHAnsi"/>
          <w:sz w:val="22"/>
          <w:szCs w:val="22"/>
        </w:rPr>
        <w:t>Plaće za zaposlene u projektu „Zaželi</w:t>
      </w:r>
      <w:r>
        <w:rPr>
          <w:rFonts w:cstheme="minorHAnsi"/>
          <w:sz w:val="22"/>
          <w:szCs w:val="22"/>
        </w:rPr>
        <w:t xml:space="preserve"> IV</w:t>
      </w:r>
      <w:r w:rsidRPr="005B60B0">
        <w:rPr>
          <w:rFonts w:cstheme="minorHAnsi"/>
          <w:sz w:val="22"/>
          <w:szCs w:val="22"/>
        </w:rPr>
        <w:t>“</w:t>
      </w:r>
      <w:r w:rsidRPr="005B60B0">
        <w:rPr>
          <w:rFonts w:cstheme="minorHAnsi"/>
          <w:sz w:val="22"/>
          <w:szCs w:val="22"/>
        </w:rPr>
        <w:tab/>
      </w:r>
      <w:r w:rsidRPr="00C60B99">
        <w:rPr>
          <w:rFonts w:cstheme="minorHAnsi"/>
          <w:sz w:val="22"/>
          <w:szCs w:val="22"/>
        </w:rPr>
        <w:t>52.367,35</w:t>
      </w:r>
    </w:p>
    <w:p w14:paraId="1392A033" w14:textId="33DB79E5" w:rsidR="00C60B99" w:rsidRPr="005B60B0" w:rsidRDefault="00C60B99" w:rsidP="00C60B99">
      <w:pPr>
        <w:pStyle w:val="Odlomakpopisa"/>
        <w:numPr>
          <w:ilvl w:val="0"/>
          <w:numId w:val="2"/>
        </w:numPr>
        <w:tabs>
          <w:tab w:val="right" w:leader="dot" w:pos="10466"/>
        </w:tabs>
        <w:spacing w:before="0" w:after="120" w:line="240" w:lineRule="auto"/>
        <w:contextualSpacing w:val="0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>Plaće za zaposlene u javnim radovima</w:t>
      </w:r>
      <w:r>
        <w:rPr>
          <w:rFonts w:cstheme="minorHAnsi"/>
          <w:sz w:val="22"/>
          <w:szCs w:val="22"/>
        </w:rPr>
        <w:tab/>
      </w:r>
      <w:r w:rsidRPr="00C60B99">
        <w:rPr>
          <w:rFonts w:cstheme="minorHAnsi"/>
          <w:sz w:val="22"/>
          <w:szCs w:val="22"/>
        </w:rPr>
        <w:t>2.896,77</w:t>
      </w:r>
    </w:p>
    <w:p w14:paraId="43E7E6BA" w14:textId="22164A59" w:rsidR="00434207" w:rsidRPr="00E7385C" w:rsidRDefault="00434207" w:rsidP="00000576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E7385C">
        <w:rPr>
          <w:rFonts w:cstheme="minorHAnsi"/>
          <w:sz w:val="22"/>
          <w:szCs w:val="22"/>
        </w:rPr>
        <w:t xml:space="preserve">Ostali rashodi za zaposlene u iznosu od </w:t>
      </w:r>
      <w:r w:rsidR="00D07BF6">
        <w:rPr>
          <w:rFonts w:cstheme="minorHAnsi"/>
          <w:sz w:val="22"/>
          <w:szCs w:val="22"/>
        </w:rPr>
        <w:t>nisu ostvarenu u promatranom razdoblju</w:t>
      </w:r>
      <w:r w:rsidR="005C456D">
        <w:rPr>
          <w:rFonts w:cstheme="minorHAnsi"/>
          <w:sz w:val="22"/>
          <w:szCs w:val="22"/>
        </w:rPr>
        <w:t>.</w:t>
      </w:r>
    </w:p>
    <w:p w14:paraId="328B3F05" w14:textId="3705E849" w:rsidR="00EA7D3F" w:rsidRDefault="00EA7D3F" w:rsidP="00000576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F45183">
        <w:rPr>
          <w:rFonts w:cstheme="minorHAnsi"/>
          <w:sz w:val="22"/>
          <w:szCs w:val="22"/>
        </w:rPr>
        <w:t xml:space="preserve">Doprinosi na plaće realizirani su iznosu od </w:t>
      </w:r>
      <w:r w:rsidR="00D07BF6" w:rsidRPr="00D07BF6">
        <w:rPr>
          <w:rFonts w:cstheme="minorHAnsi"/>
          <w:sz w:val="22"/>
          <w:szCs w:val="22"/>
        </w:rPr>
        <w:t>17.689,58</w:t>
      </w:r>
      <w:r w:rsidR="005C456D">
        <w:rPr>
          <w:rFonts w:cstheme="minorHAnsi"/>
          <w:sz w:val="22"/>
          <w:szCs w:val="22"/>
        </w:rPr>
        <w:t xml:space="preserve"> eura</w:t>
      </w:r>
      <w:r w:rsidRPr="00F45183">
        <w:rPr>
          <w:rFonts w:cstheme="minorHAnsi"/>
          <w:sz w:val="22"/>
          <w:szCs w:val="22"/>
        </w:rPr>
        <w:t>, a</w:t>
      </w:r>
      <w:r w:rsidR="009C629F" w:rsidRPr="00F45183">
        <w:rPr>
          <w:rFonts w:cstheme="minorHAnsi"/>
          <w:sz w:val="22"/>
          <w:szCs w:val="22"/>
        </w:rPr>
        <w:t xml:space="preserve"> </w:t>
      </w:r>
      <w:r w:rsidRPr="00F45183">
        <w:rPr>
          <w:rFonts w:cstheme="minorHAnsi"/>
          <w:sz w:val="22"/>
          <w:szCs w:val="22"/>
        </w:rPr>
        <w:t>odnose se na doprinose za</w:t>
      </w:r>
      <w:r w:rsidR="00C83807" w:rsidRPr="00F45183">
        <w:rPr>
          <w:rFonts w:cstheme="minorHAnsi"/>
          <w:sz w:val="22"/>
          <w:szCs w:val="22"/>
        </w:rPr>
        <w:t xml:space="preserve"> zdravstveno osiguranje</w:t>
      </w:r>
      <w:r w:rsidRPr="00F45183">
        <w:rPr>
          <w:rFonts w:cstheme="minorHAnsi"/>
          <w:sz w:val="22"/>
          <w:szCs w:val="22"/>
        </w:rPr>
        <w:t xml:space="preserve">. Također se raščlanjuju na zaposlene </w:t>
      </w:r>
      <w:r w:rsidR="00781082">
        <w:rPr>
          <w:rFonts w:cstheme="minorHAnsi"/>
          <w:sz w:val="22"/>
          <w:szCs w:val="22"/>
        </w:rPr>
        <w:t>dužnosnike</w:t>
      </w:r>
      <w:r w:rsidR="004550AA">
        <w:rPr>
          <w:rFonts w:cstheme="minorHAnsi"/>
          <w:sz w:val="22"/>
          <w:szCs w:val="22"/>
        </w:rPr>
        <w:t xml:space="preserve"> i</w:t>
      </w:r>
      <w:r w:rsidR="00781082">
        <w:rPr>
          <w:rFonts w:cstheme="minorHAnsi"/>
          <w:sz w:val="22"/>
          <w:szCs w:val="22"/>
        </w:rPr>
        <w:t xml:space="preserve"> službenike </w:t>
      </w:r>
      <w:r w:rsidRPr="00F45183">
        <w:rPr>
          <w:rFonts w:cstheme="minorHAnsi"/>
          <w:sz w:val="22"/>
          <w:szCs w:val="22"/>
        </w:rPr>
        <w:t>u upravnim tijelima</w:t>
      </w:r>
      <w:r w:rsidR="004550AA">
        <w:rPr>
          <w:rFonts w:cstheme="minorHAnsi"/>
          <w:sz w:val="22"/>
          <w:szCs w:val="22"/>
        </w:rPr>
        <w:t>.</w:t>
      </w:r>
    </w:p>
    <w:p w14:paraId="66637528" w14:textId="77777777" w:rsidR="00781082" w:rsidRPr="00F45183" w:rsidRDefault="00781082" w:rsidP="00000576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</w:p>
    <w:p w14:paraId="6E70CF8F" w14:textId="42726CE7" w:rsidR="00D43500" w:rsidRPr="00F45183" w:rsidRDefault="00F45183" w:rsidP="00165728">
      <w:pPr>
        <w:pStyle w:val="Naslov3"/>
        <w:numPr>
          <w:ilvl w:val="2"/>
          <w:numId w:val="4"/>
        </w:numPr>
        <w:spacing w:before="0" w:after="120"/>
        <w:ind w:left="504"/>
        <w:rPr>
          <w:b/>
          <w:sz w:val="22"/>
        </w:rPr>
      </w:pPr>
      <w:bookmarkStart w:id="22" w:name="_Toc209436502"/>
      <w:r w:rsidRPr="00F45183">
        <w:rPr>
          <w:b/>
          <w:caps w:val="0"/>
          <w:sz w:val="22"/>
        </w:rPr>
        <w:t>Materijalni rashodi</w:t>
      </w:r>
      <w:bookmarkEnd w:id="22"/>
    </w:p>
    <w:p w14:paraId="78D791F0" w14:textId="50BB6375" w:rsidR="00597147" w:rsidRPr="00797DD3" w:rsidRDefault="00597147" w:rsidP="00000576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797DD3">
        <w:rPr>
          <w:rFonts w:cstheme="minorHAnsi"/>
          <w:sz w:val="22"/>
          <w:szCs w:val="22"/>
        </w:rPr>
        <w:t xml:space="preserve">Materijalni rashodi ostvareni su u iznosu od </w:t>
      </w:r>
      <w:r w:rsidR="007867D5" w:rsidRPr="007867D5">
        <w:rPr>
          <w:rFonts w:cstheme="minorHAnsi"/>
          <w:sz w:val="22"/>
          <w:szCs w:val="22"/>
        </w:rPr>
        <w:t>158.247,97</w:t>
      </w:r>
      <w:r w:rsidR="00797DD3">
        <w:rPr>
          <w:rFonts w:cstheme="minorHAnsi"/>
          <w:sz w:val="22"/>
          <w:szCs w:val="22"/>
        </w:rPr>
        <w:t xml:space="preserve"> eura</w:t>
      </w:r>
      <w:r w:rsidRPr="00797DD3">
        <w:rPr>
          <w:rFonts w:cstheme="minorHAnsi"/>
          <w:sz w:val="22"/>
          <w:szCs w:val="22"/>
        </w:rPr>
        <w:t xml:space="preserve"> i obuhvaćaju naknade troškova zaposlenima i osobama izvan radnog odnosa, rashode za materijal</w:t>
      </w:r>
      <w:r w:rsidR="004C4052" w:rsidRPr="00797DD3">
        <w:rPr>
          <w:rFonts w:cstheme="minorHAnsi"/>
          <w:sz w:val="22"/>
          <w:szCs w:val="22"/>
        </w:rPr>
        <w:t xml:space="preserve"> i</w:t>
      </w:r>
      <w:r w:rsidRPr="00797DD3">
        <w:rPr>
          <w:rFonts w:cstheme="minorHAnsi"/>
          <w:sz w:val="22"/>
          <w:szCs w:val="22"/>
        </w:rPr>
        <w:t xml:space="preserve"> energij</w:t>
      </w:r>
      <w:r w:rsidR="004C4052" w:rsidRPr="00797DD3">
        <w:rPr>
          <w:rFonts w:cstheme="minorHAnsi"/>
          <w:sz w:val="22"/>
          <w:szCs w:val="22"/>
        </w:rPr>
        <w:t>u, rashod</w:t>
      </w:r>
      <w:r w:rsidR="00C37143" w:rsidRPr="00797DD3">
        <w:rPr>
          <w:rFonts w:cstheme="minorHAnsi"/>
          <w:sz w:val="22"/>
          <w:szCs w:val="22"/>
        </w:rPr>
        <w:t>e</w:t>
      </w:r>
      <w:r w:rsidR="004C4052" w:rsidRPr="00797DD3">
        <w:rPr>
          <w:rFonts w:cstheme="minorHAnsi"/>
          <w:sz w:val="22"/>
          <w:szCs w:val="22"/>
        </w:rPr>
        <w:t xml:space="preserve"> za usluge</w:t>
      </w:r>
      <w:r w:rsidR="00C37143" w:rsidRPr="00797DD3">
        <w:rPr>
          <w:rFonts w:cstheme="minorHAnsi"/>
          <w:sz w:val="22"/>
          <w:szCs w:val="22"/>
        </w:rPr>
        <w:t xml:space="preserve"> i ostale nespomenute rashode</w:t>
      </w:r>
      <w:r w:rsidR="004C4052" w:rsidRPr="00797DD3">
        <w:rPr>
          <w:rFonts w:cstheme="minorHAnsi"/>
          <w:sz w:val="22"/>
          <w:szCs w:val="22"/>
        </w:rPr>
        <w:t>.</w:t>
      </w:r>
      <w:r w:rsidRPr="00797DD3">
        <w:rPr>
          <w:rFonts w:cstheme="minorHAnsi"/>
          <w:sz w:val="22"/>
          <w:szCs w:val="22"/>
        </w:rPr>
        <w:t xml:space="preserve"> </w:t>
      </w:r>
    </w:p>
    <w:p w14:paraId="5D5556D3" w14:textId="03C8C03E" w:rsidR="00781082" w:rsidRDefault="0036018D" w:rsidP="00000576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797DD3">
        <w:rPr>
          <w:rFonts w:cstheme="minorHAnsi"/>
          <w:sz w:val="22"/>
          <w:szCs w:val="22"/>
        </w:rPr>
        <w:t xml:space="preserve">U usporedbi s prethodnom godinom </w:t>
      </w:r>
      <w:r w:rsidR="00597147" w:rsidRPr="00797DD3">
        <w:rPr>
          <w:rFonts w:cstheme="minorHAnsi"/>
          <w:sz w:val="22"/>
          <w:szCs w:val="22"/>
        </w:rPr>
        <w:t xml:space="preserve">materijalni rashodi su </w:t>
      </w:r>
      <w:r w:rsidR="007867D5">
        <w:rPr>
          <w:rFonts w:cstheme="minorHAnsi"/>
          <w:sz w:val="22"/>
          <w:szCs w:val="22"/>
        </w:rPr>
        <w:t>veći</w:t>
      </w:r>
      <w:r w:rsidRPr="00797DD3">
        <w:rPr>
          <w:rFonts w:cstheme="minorHAnsi"/>
          <w:sz w:val="22"/>
          <w:szCs w:val="22"/>
        </w:rPr>
        <w:t xml:space="preserve"> za </w:t>
      </w:r>
      <w:r w:rsidR="007867D5">
        <w:rPr>
          <w:rFonts w:cstheme="minorHAnsi"/>
          <w:sz w:val="22"/>
          <w:szCs w:val="22"/>
        </w:rPr>
        <w:t>33,18</w:t>
      </w:r>
      <w:r w:rsidR="00C37143" w:rsidRPr="00797DD3">
        <w:rPr>
          <w:rFonts w:cstheme="minorHAnsi"/>
          <w:sz w:val="22"/>
          <w:szCs w:val="22"/>
        </w:rPr>
        <w:t xml:space="preserve">%, a realizirano je </w:t>
      </w:r>
      <w:r w:rsidR="00766CBB">
        <w:rPr>
          <w:rFonts w:cstheme="minorHAnsi"/>
          <w:sz w:val="22"/>
          <w:szCs w:val="22"/>
        </w:rPr>
        <w:t>3</w:t>
      </w:r>
      <w:r w:rsidR="007867D5">
        <w:rPr>
          <w:rFonts w:cstheme="minorHAnsi"/>
          <w:sz w:val="22"/>
          <w:szCs w:val="22"/>
        </w:rPr>
        <w:t>4</w:t>
      </w:r>
      <w:r w:rsidR="00766CBB">
        <w:rPr>
          <w:rFonts w:cstheme="minorHAnsi"/>
          <w:sz w:val="22"/>
          <w:szCs w:val="22"/>
        </w:rPr>
        <w:t>,</w:t>
      </w:r>
      <w:r w:rsidR="007867D5">
        <w:rPr>
          <w:rFonts w:cstheme="minorHAnsi"/>
          <w:sz w:val="22"/>
          <w:szCs w:val="22"/>
        </w:rPr>
        <w:t>95</w:t>
      </w:r>
      <w:r w:rsidR="00C37143" w:rsidRPr="00797DD3">
        <w:rPr>
          <w:rFonts w:cstheme="minorHAnsi"/>
          <w:sz w:val="22"/>
          <w:szCs w:val="22"/>
        </w:rPr>
        <w:t>% Plana.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5"/>
        <w:gridCol w:w="4795"/>
        <w:gridCol w:w="1035"/>
        <w:gridCol w:w="1131"/>
        <w:gridCol w:w="1077"/>
        <w:gridCol w:w="919"/>
        <w:gridCol w:w="954"/>
      </w:tblGrid>
      <w:tr w:rsidR="007867D5" w:rsidRPr="001707FD" w14:paraId="5AC692AB" w14:textId="77777777" w:rsidTr="007867D5">
        <w:trPr>
          <w:trHeight w:val="227"/>
        </w:trPr>
        <w:tc>
          <w:tcPr>
            <w:tcW w:w="2554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5983C3F" w14:textId="77777777" w:rsidR="001707FD" w:rsidRPr="001707FD" w:rsidRDefault="001707FD" w:rsidP="001707F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Brojčana oznaka i naziv računa</w:t>
            </w:r>
          </w:p>
        </w:tc>
        <w:tc>
          <w:tcPr>
            <w:tcW w:w="49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629DDBBF" w14:textId="77777777" w:rsidR="007867D5" w:rsidRDefault="001707FD" w:rsidP="001707F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Izvršenje </w:t>
            </w:r>
          </w:p>
          <w:p w14:paraId="0C4BF250" w14:textId="2BCFEC02" w:rsidR="001707FD" w:rsidRPr="001707FD" w:rsidRDefault="001707FD" w:rsidP="001707F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I-VI 2024.</w:t>
            </w:r>
          </w:p>
        </w:tc>
        <w:tc>
          <w:tcPr>
            <w:tcW w:w="54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589BAE18" w14:textId="77777777" w:rsidR="001707FD" w:rsidRPr="001707FD" w:rsidRDefault="001707FD" w:rsidP="001707F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Proračun 2025</w:t>
            </w:r>
          </w:p>
        </w:tc>
        <w:tc>
          <w:tcPr>
            <w:tcW w:w="51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0037D9AD" w14:textId="77777777" w:rsidR="007867D5" w:rsidRDefault="001707FD" w:rsidP="001707F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Izvršenje </w:t>
            </w:r>
          </w:p>
          <w:p w14:paraId="6772B00C" w14:textId="5D04121D" w:rsidR="001707FD" w:rsidRPr="001707FD" w:rsidRDefault="001707FD" w:rsidP="001707F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I-VI 2025.</w:t>
            </w:r>
          </w:p>
        </w:tc>
        <w:tc>
          <w:tcPr>
            <w:tcW w:w="43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35D8BAB0" w14:textId="77777777" w:rsidR="001707FD" w:rsidRPr="001707FD" w:rsidRDefault="001707FD" w:rsidP="001707F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Indeks (4/2*100)</w:t>
            </w:r>
          </w:p>
        </w:tc>
        <w:tc>
          <w:tcPr>
            <w:tcW w:w="45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567ED537" w14:textId="77777777" w:rsidR="001707FD" w:rsidRPr="001707FD" w:rsidRDefault="001707FD" w:rsidP="001707F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Indeks (4/3*100)</w:t>
            </w:r>
          </w:p>
        </w:tc>
      </w:tr>
      <w:tr w:rsidR="007867D5" w:rsidRPr="001707FD" w14:paraId="41ED3F4E" w14:textId="77777777" w:rsidTr="007867D5">
        <w:trPr>
          <w:trHeight w:val="227"/>
        </w:trPr>
        <w:tc>
          <w:tcPr>
            <w:tcW w:w="2554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7E6E6"/>
            <w:noWrap/>
            <w:vAlign w:val="center"/>
            <w:hideMark/>
          </w:tcPr>
          <w:p w14:paraId="0EF59559" w14:textId="77777777" w:rsidR="001707FD" w:rsidRPr="001707FD" w:rsidRDefault="001707FD" w:rsidP="001707F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vAlign w:val="center"/>
            <w:hideMark/>
          </w:tcPr>
          <w:p w14:paraId="7E6F2808" w14:textId="77777777" w:rsidR="001707FD" w:rsidRPr="001707FD" w:rsidRDefault="001707FD" w:rsidP="001707F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vAlign w:val="center"/>
            <w:hideMark/>
          </w:tcPr>
          <w:p w14:paraId="095FBDA9" w14:textId="77777777" w:rsidR="001707FD" w:rsidRPr="001707FD" w:rsidRDefault="001707FD" w:rsidP="001707F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vAlign w:val="center"/>
            <w:hideMark/>
          </w:tcPr>
          <w:p w14:paraId="38FBAE86" w14:textId="77777777" w:rsidR="001707FD" w:rsidRPr="001707FD" w:rsidRDefault="001707FD" w:rsidP="001707F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vAlign w:val="center"/>
            <w:hideMark/>
          </w:tcPr>
          <w:p w14:paraId="2A631203" w14:textId="77777777" w:rsidR="001707FD" w:rsidRPr="001707FD" w:rsidRDefault="001707FD" w:rsidP="001707F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35B6D3EF" w14:textId="77777777" w:rsidR="001707FD" w:rsidRPr="001707FD" w:rsidRDefault="001707FD" w:rsidP="001707FD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</w:tr>
      <w:tr w:rsidR="007867D5" w:rsidRPr="001707FD" w14:paraId="4A64A3DF" w14:textId="77777777" w:rsidTr="007867D5">
        <w:trPr>
          <w:trHeight w:val="227"/>
        </w:trPr>
        <w:tc>
          <w:tcPr>
            <w:tcW w:w="2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5A2781D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32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04E6D624" w14:textId="77777777" w:rsidR="001707FD" w:rsidRPr="001707FD" w:rsidRDefault="001707FD" w:rsidP="001707FD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Materijalni rashodi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6B1E23F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118.268,64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1414316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452.800,00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FB75F50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158.247,97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8D03C02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133,80%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79AD831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34,95%</w:t>
            </w:r>
          </w:p>
        </w:tc>
      </w:tr>
      <w:tr w:rsidR="007867D5" w:rsidRPr="001707FD" w14:paraId="2F27568A" w14:textId="77777777" w:rsidTr="007867D5">
        <w:trPr>
          <w:trHeight w:val="227"/>
        </w:trPr>
        <w:tc>
          <w:tcPr>
            <w:tcW w:w="2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1EF7436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321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2A49F90F" w14:textId="77777777" w:rsidR="001707FD" w:rsidRPr="001707FD" w:rsidRDefault="001707FD" w:rsidP="001707F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Naknade troškova zaposlenima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2E48C30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5.362,37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4E3022D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3D75230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7.170,72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678CD1D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133,72%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361848F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867D5" w:rsidRPr="001707FD" w14:paraId="5736AE2E" w14:textId="77777777" w:rsidTr="007867D5">
        <w:trPr>
          <w:trHeight w:val="227"/>
        </w:trPr>
        <w:tc>
          <w:tcPr>
            <w:tcW w:w="2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32FB7E3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3211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28AE4B72" w14:textId="77777777" w:rsidR="001707FD" w:rsidRPr="001707FD" w:rsidRDefault="001707FD" w:rsidP="001707F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Službena putovanja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1910EEF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727,00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4F6BB57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87DF49D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1.005,00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31DF630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138,24%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F7A7065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867D5" w:rsidRPr="001707FD" w14:paraId="7443C581" w14:textId="77777777" w:rsidTr="007867D5">
        <w:trPr>
          <w:trHeight w:val="227"/>
        </w:trPr>
        <w:tc>
          <w:tcPr>
            <w:tcW w:w="2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7C4EC3B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3212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08A78541" w14:textId="77777777" w:rsidR="001707FD" w:rsidRPr="001707FD" w:rsidRDefault="001707FD" w:rsidP="001707F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Naknade za prijevoz, za rad na terenu i odvojeni život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DAFBEB8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1.965,07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A3463D8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6E74EDA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1.732,72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2C8E4ED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88,18%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00328DE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867D5" w:rsidRPr="001707FD" w14:paraId="0BC09158" w14:textId="77777777" w:rsidTr="007867D5">
        <w:trPr>
          <w:trHeight w:val="227"/>
        </w:trPr>
        <w:tc>
          <w:tcPr>
            <w:tcW w:w="2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6FCE58A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3213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0EFECCC2" w14:textId="77777777" w:rsidR="001707FD" w:rsidRPr="001707FD" w:rsidRDefault="001707FD" w:rsidP="001707F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Stručno usavršavanje zaposlenika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001D7FC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1C7D083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99715FF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4339A66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0,00%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AB70ED2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867D5" w:rsidRPr="001707FD" w14:paraId="7C5D10F6" w14:textId="77777777" w:rsidTr="007867D5">
        <w:trPr>
          <w:trHeight w:val="227"/>
        </w:trPr>
        <w:tc>
          <w:tcPr>
            <w:tcW w:w="2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5948487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3214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5DAD2BA6" w14:textId="77777777" w:rsidR="001707FD" w:rsidRPr="001707FD" w:rsidRDefault="001707FD" w:rsidP="001707F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Ostale naknade troškova zaposlenima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7705BD7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2.670,30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C802D76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C5CBFFD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4.433,00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D3E289E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166,01%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4A94230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867D5" w:rsidRPr="001707FD" w14:paraId="5E7386D8" w14:textId="77777777" w:rsidTr="007867D5">
        <w:trPr>
          <w:trHeight w:val="227"/>
        </w:trPr>
        <w:tc>
          <w:tcPr>
            <w:tcW w:w="2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960B24B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322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2DA4A3B7" w14:textId="77777777" w:rsidR="001707FD" w:rsidRPr="001707FD" w:rsidRDefault="001707FD" w:rsidP="001707F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Rashodi za materijal i energiju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0296D5D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8.243,65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0554001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185618C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10.515,91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4FC0303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127,56%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30C6B0D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867D5" w:rsidRPr="001707FD" w14:paraId="60CB510D" w14:textId="77777777" w:rsidTr="007867D5">
        <w:trPr>
          <w:trHeight w:val="227"/>
        </w:trPr>
        <w:tc>
          <w:tcPr>
            <w:tcW w:w="2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109045B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3221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21F8E283" w14:textId="77777777" w:rsidR="001707FD" w:rsidRPr="001707FD" w:rsidRDefault="001707FD" w:rsidP="001707F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Uredski materijal i ostali materijalni rashodi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416920E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1.369,88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0EE1474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8937929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3.412,11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C9BFDA0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249,08%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75DB3E5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867D5" w:rsidRPr="001707FD" w14:paraId="4E1F48AE" w14:textId="77777777" w:rsidTr="007867D5">
        <w:trPr>
          <w:trHeight w:val="227"/>
        </w:trPr>
        <w:tc>
          <w:tcPr>
            <w:tcW w:w="2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2F1391C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3223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2B28DBC3" w14:textId="77777777" w:rsidR="001707FD" w:rsidRPr="001707FD" w:rsidRDefault="001707FD" w:rsidP="001707F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Energija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9839397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6.782,69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7C1FA33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7A8310C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7.011,30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A6E6DE0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103,37%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97A2662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867D5" w:rsidRPr="001707FD" w14:paraId="57544451" w14:textId="77777777" w:rsidTr="007867D5">
        <w:trPr>
          <w:trHeight w:val="227"/>
        </w:trPr>
        <w:tc>
          <w:tcPr>
            <w:tcW w:w="2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1341534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3225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661E2522" w14:textId="77777777" w:rsidR="001707FD" w:rsidRPr="001707FD" w:rsidRDefault="001707FD" w:rsidP="001707F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Sitni inventar i </w:t>
            </w:r>
            <w:proofErr w:type="spellStart"/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autogume</w:t>
            </w:r>
            <w:proofErr w:type="spellEnd"/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D8380DD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91,08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8F36D43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DB3680D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6AB83DB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0,00%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CEE26D2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867D5" w:rsidRPr="001707FD" w14:paraId="7B332543" w14:textId="77777777" w:rsidTr="007867D5">
        <w:trPr>
          <w:trHeight w:val="227"/>
        </w:trPr>
        <w:tc>
          <w:tcPr>
            <w:tcW w:w="2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6CDC558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3227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2F18ACB8" w14:textId="77777777" w:rsidR="001707FD" w:rsidRPr="001707FD" w:rsidRDefault="001707FD" w:rsidP="001707F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Službena, radna i zaštitna odjeća i obuća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0A6C9F6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99EC844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B75DA1A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92,50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33D0BF5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0,00%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800A126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867D5" w:rsidRPr="001707FD" w14:paraId="202AA95A" w14:textId="77777777" w:rsidTr="007867D5">
        <w:trPr>
          <w:trHeight w:val="227"/>
        </w:trPr>
        <w:tc>
          <w:tcPr>
            <w:tcW w:w="2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4298235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323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777529A8" w14:textId="77777777" w:rsidR="001707FD" w:rsidRPr="001707FD" w:rsidRDefault="001707FD" w:rsidP="001707F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Rashodi za usluge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4CBFC5A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100.852,43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09CFF50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1FB41C8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119.828,91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F176575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118,82%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F9C09A3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867D5" w:rsidRPr="001707FD" w14:paraId="3F90CA3D" w14:textId="77777777" w:rsidTr="007867D5">
        <w:trPr>
          <w:trHeight w:val="227"/>
        </w:trPr>
        <w:tc>
          <w:tcPr>
            <w:tcW w:w="2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FAFB458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3231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32A654DC" w14:textId="77777777" w:rsidR="001707FD" w:rsidRPr="001707FD" w:rsidRDefault="001707FD" w:rsidP="001707F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Usluge telefona, interneta, pošte i prijevoza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2123AF0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3.279,81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06BD9D1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48FC51F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1.586,25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A8A17D1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48,36%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EC0A542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867D5" w:rsidRPr="001707FD" w14:paraId="311244CC" w14:textId="77777777" w:rsidTr="007867D5">
        <w:trPr>
          <w:trHeight w:val="227"/>
        </w:trPr>
        <w:tc>
          <w:tcPr>
            <w:tcW w:w="2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0AB6A57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3232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3B1B5FD3" w14:textId="77777777" w:rsidR="001707FD" w:rsidRPr="001707FD" w:rsidRDefault="001707FD" w:rsidP="001707F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Usluge tekućeg i investicijskog održavanja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43801CA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51.327,59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3A95796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291C79E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79.774,97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DA3E619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155,42%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3BEFD8F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867D5" w:rsidRPr="001707FD" w14:paraId="78C38F8E" w14:textId="77777777" w:rsidTr="007867D5">
        <w:trPr>
          <w:trHeight w:val="227"/>
        </w:trPr>
        <w:tc>
          <w:tcPr>
            <w:tcW w:w="2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4E60487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3233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27486E49" w14:textId="77777777" w:rsidR="001707FD" w:rsidRPr="001707FD" w:rsidRDefault="001707FD" w:rsidP="001707F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Usluge promidžbe i informiranja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0BBA5B0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2.740,55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9D00922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CFB4009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2.753,89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DD45536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100,49%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5D5DE73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867D5" w:rsidRPr="001707FD" w14:paraId="60EA50CD" w14:textId="77777777" w:rsidTr="007867D5">
        <w:trPr>
          <w:trHeight w:val="227"/>
        </w:trPr>
        <w:tc>
          <w:tcPr>
            <w:tcW w:w="2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1673A1E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3234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702D4A5E" w14:textId="77777777" w:rsidR="001707FD" w:rsidRPr="001707FD" w:rsidRDefault="001707FD" w:rsidP="001707F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Komunalne usluge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48ADE34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19.482,93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E7B3F0B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92E4DC8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11.237,44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06AC1C2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57,68%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A97E99E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867D5" w:rsidRPr="001707FD" w14:paraId="087BEFEA" w14:textId="77777777" w:rsidTr="007867D5">
        <w:trPr>
          <w:trHeight w:val="227"/>
        </w:trPr>
        <w:tc>
          <w:tcPr>
            <w:tcW w:w="2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82AB2B9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3236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39172C6A" w14:textId="77777777" w:rsidR="001707FD" w:rsidRPr="001707FD" w:rsidRDefault="001707FD" w:rsidP="001707F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Zdravstvene i veterinarske usluge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90FA3BE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8098391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0093FD3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DE235BB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0,00%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A3403A1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867D5" w:rsidRPr="001707FD" w14:paraId="330C306C" w14:textId="77777777" w:rsidTr="007867D5">
        <w:trPr>
          <w:trHeight w:val="227"/>
        </w:trPr>
        <w:tc>
          <w:tcPr>
            <w:tcW w:w="2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5AF8EDF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3237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0B08B098" w14:textId="77777777" w:rsidR="001707FD" w:rsidRPr="001707FD" w:rsidRDefault="001707FD" w:rsidP="001707F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Intelektualne i osobne usluge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76B77CE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19.088,34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0E009B5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DE11F7F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18.728,75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082348F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98,12%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E274198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867D5" w:rsidRPr="001707FD" w14:paraId="37AC578F" w14:textId="77777777" w:rsidTr="007867D5">
        <w:trPr>
          <w:trHeight w:val="227"/>
        </w:trPr>
        <w:tc>
          <w:tcPr>
            <w:tcW w:w="2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5AA6EA8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3238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2664118D" w14:textId="77777777" w:rsidR="001707FD" w:rsidRPr="001707FD" w:rsidRDefault="001707FD" w:rsidP="001707F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Računalne usluge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8022510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4.221,84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554C4A9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00945D0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5.041,43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EC7FBCD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119,41%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913CD00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867D5" w:rsidRPr="001707FD" w14:paraId="1A323CCC" w14:textId="77777777" w:rsidTr="007867D5">
        <w:trPr>
          <w:trHeight w:val="227"/>
        </w:trPr>
        <w:tc>
          <w:tcPr>
            <w:tcW w:w="2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9A7EBA1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3239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6A0761CB" w14:textId="77777777" w:rsidR="001707FD" w:rsidRPr="001707FD" w:rsidRDefault="001707FD" w:rsidP="001707F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Ostale usluge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83F8E93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711,37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94D7178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B070128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706,18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6C4190C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99,27%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C01C011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867D5" w:rsidRPr="001707FD" w14:paraId="246C9C68" w14:textId="77777777" w:rsidTr="007867D5">
        <w:trPr>
          <w:trHeight w:val="227"/>
        </w:trPr>
        <w:tc>
          <w:tcPr>
            <w:tcW w:w="2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45311E3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329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51E1F8A5" w14:textId="77777777" w:rsidR="001707FD" w:rsidRPr="001707FD" w:rsidRDefault="001707FD" w:rsidP="001707F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Ostali nespomenuti rashodi poslovanja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50CC135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3.810,19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55D0458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C7C61A2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20.732,43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ABA707F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544,13%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D7AA083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867D5" w:rsidRPr="001707FD" w14:paraId="223F85CA" w14:textId="77777777" w:rsidTr="007867D5">
        <w:trPr>
          <w:trHeight w:val="227"/>
        </w:trPr>
        <w:tc>
          <w:tcPr>
            <w:tcW w:w="2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5B8FAF3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3291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54802CD2" w14:textId="77777777" w:rsidR="001707FD" w:rsidRPr="001707FD" w:rsidRDefault="001707FD" w:rsidP="001707F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4444789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A79250A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48EDB67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14.056,82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783F867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0,00%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CDD562C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867D5" w:rsidRPr="001707FD" w14:paraId="7E39CB8A" w14:textId="77777777" w:rsidTr="007867D5">
        <w:trPr>
          <w:trHeight w:val="227"/>
        </w:trPr>
        <w:tc>
          <w:tcPr>
            <w:tcW w:w="2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9FC6BDF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3292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63C353E1" w14:textId="77777777" w:rsidR="001707FD" w:rsidRPr="001707FD" w:rsidRDefault="001707FD" w:rsidP="001707F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Premije osiguranja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775C0F8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B78C8F4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3C210D5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70C8D34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0,00%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791C4DB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867D5" w:rsidRPr="001707FD" w14:paraId="2AC02FD0" w14:textId="77777777" w:rsidTr="007867D5">
        <w:trPr>
          <w:trHeight w:val="227"/>
        </w:trPr>
        <w:tc>
          <w:tcPr>
            <w:tcW w:w="2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A426000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3293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2F69A503" w14:textId="77777777" w:rsidR="001707FD" w:rsidRPr="001707FD" w:rsidRDefault="001707FD" w:rsidP="001707F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Reprezentacija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2EC22BC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648,91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7FD3414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7C3BC70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7,19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B20BEA5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1,11%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23EB55B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867D5" w:rsidRPr="001707FD" w14:paraId="7FEBDFF3" w14:textId="77777777" w:rsidTr="007867D5">
        <w:trPr>
          <w:trHeight w:val="227"/>
        </w:trPr>
        <w:tc>
          <w:tcPr>
            <w:tcW w:w="2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9F70A8B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3294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055C3105" w14:textId="77777777" w:rsidR="001707FD" w:rsidRPr="001707FD" w:rsidRDefault="001707FD" w:rsidP="001707F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Članarine i norme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CD13AF9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177,76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1D0381A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C050885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711,04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824D6AC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400,00%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84C3DCE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867D5" w:rsidRPr="001707FD" w14:paraId="1DFB153C" w14:textId="77777777" w:rsidTr="007867D5">
        <w:trPr>
          <w:trHeight w:val="227"/>
        </w:trPr>
        <w:tc>
          <w:tcPr>
            <w:tcW w:w="2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6FB5E7F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3295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4464F34C" w14:textId="77777777" w:rsidR="001707FD" w:rsidRPr="001707FD" w:rsidRDefault="001707FD" w:rsidP="001707F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Pristojbe i naknade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FD6772F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228,39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1A73858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7293B98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698,47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3E015D3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305,82%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6B2372A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867D5" w:rsidRPr="001707FD" w14:paraId="0F21E377" w14:textId="77777777" w:rsidTr="007867D5">
        <w:trPr>
          <w:trHeight w:val="227"/>
        </w:trPr>
        <w:tc>
          <w:tcPr>
            <w:tcW w:w="26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46A6382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3299</w:t>
            </w:r>
          </w:p>
        </w:tc>
        <w:tc>
          <w:tcPr>
            <w:tcW w:w="22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40783B5B" w14:textId="77777777" w:rsidR="001707FD" w:rsidRPr="001707FD" w:rsidRDefault="001707FD" w:rsidP="001707FD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Ostali nespomenuti rashodi poslovanja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F89F6B0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2.755,13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AC9959A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27D22B7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5.258,91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5A9A44B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190,88%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810949B" w14:textId="77777777" w:rsidR="001707FD" w:rsidRPr="001707FD" w:rsidRDefault="001707FD" w:rsidP="001707FD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1707FD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</w:tbl>
    <w:p w14:paraId="56DA2DD2" w14:textId="78999E25" w:rsidR="0036018D" w:rsidRPr="00000576" w:rsidRDefault="00D3452E" w:rsidP="00F45183">
      <w:pPr>
        <w:spacing w:before="120" w:after="120" w:line="240" w:lineRule="auto"/>
        <w:jc w:val="both"/>
        <w:rPr>
          <w:rFonts w:cstheme="minorHAnsi"/>
          <w:sz w:val="22"/>
          <w:szCs w:val="22"/>
        </w:rPr>
      </w:pPr>
      <w:r w:rsidRPr="00000576">
        <w:rPr>
          <w:rFonts w:cstheme="minorHAnsi"/>
          <w:sz w:val="22"/>
          <w:szCs w:val="22"/>
        </w:rPr>
        <w:t xml:space="preserve">Naknade troškova zaposlenima u iznosu od </w:t>
      </w:r>
      <w:r w:rsidR="007867D5" w:rsidRPr="007867D5">
        <w:rPr>
          <w:rFonts w:cstheme="minorHAnsi"/>
          <w:sz w:val="22"/>
          <w:szCs w:val="22"/>
        </w:rPr>
        <w:t>7.170,72</w:t>
      </w:r>
      <w:r w:rsidR="00797DD3">
        <w:rPr>
          <w:rFonts w:cstheme="minorHAnsi"/>
          <w:sz w:val="22"/>
          <w:szCs w:val="22"/>
        </w:rPr>
        <w:t xml:space="preserve"> eura</w:t>
      </w:r>
      <w:r w:rsidRPr="00000576">
        <w:rPr>
          <w:rFonts w:cstheme="minorHAnsi"/>
          <w:sz w:val="22"/>
          <w:szCs w:val="22"/>
        </w:rPr>
        <w:t xml:space="preserve"> obuhvaćaju rashode za službena putovanja, </w:t>
      </w:r>
      <w:r w:rsidR="004C4052" w:rsidRPr="00000576">
        <w:rPr>
          <w:rFonts w:cstheme="minorHAnsi"/>
          <w:sz w:val="22"/>
          <w:szCs w:val="22"/>
        </w:rPr>
        <w:t xml:space="preserve">naknadu za prijevoz, </w:t>
      </w:r>
      <w:r w:rsidR="00AE006E" w:rsidRPr="00000576">
        <w:rPr>
          <w:rFonts w:cstheme="minorHAnsi"/>
          <w:sz w:val="22"/>
          <w:szCs w:val="22"/>
        </w:rPr>
        <w:t>rashode stručnog usavršavanja</w:t>
      </w:r>
      <w:r w:rsidR="004C4052" w:rsidRPr="00000576">
        <w:rPr>
          <w:rFonts w:cstheme="minorHAnsi"/>
          <w:sz w:val="22"/>
          <w:szCs w:val="22"/>
        </w:rPr>
        <w:t xml:space="preserve"> i ostale naknade troškova zaposlenima</w:t>
      </w:r>
      <w:r w:rsidR="00862519">
        <w:rPr>
          <w:rFonts w:cstheme="minorHAnsi"/>
          <w:sz w:val="22"/>
          <w:szCs w:val="22"/>
        </w:rPr>
        <w:t>, te su</w:t>
      </w:r>
      <w:r w:rsidR="004C4052" w:rsidRPr="00000576">
        <w:rPr>
          <w:rFonts w:cstheme="minorHAnsi"/>
          <w:sz w:val="22"/>
          <w:szCs w:val="22"/>
        </w:rPr>
        <w:t xml:space="preserve"> </w:t>
      </w:r>
      <w:r w:rsidR="007867D5">
        <w:rPr>
          <w:rFonts w:cstheme="minorHAnsi"/>
          <w:sz w:val="22"/>
          <w:szCs w:val="22"/>
        </w:rPr>
        <w:t>33,72</w:t>
      </w:r>
      <w:r w:rsidR="00AE006E" w:rsidRPr="00000576">
        <w:rPr>
          <w:rFonts w:cstheme="minorHAnsi"/>
          <w:sz w:val="22"/>
          <w:szCs w:val="22"/>
        </w:rPr>
        <w:t xml:space="preserve">% </w:t>
      </w:r>
      <w:r w:rsidR="00766CBB">
        <w:rPr>
          <w:rFonts w:cstheme="minorHAnsi"/>
          <w:sz w:val="22"/>
          <w:szCs w:val="22"/>
        </w:rPr>
        <w:t>veći</w:t>
      </w:r>
      <w:r w:rsidR="00AE006E" w:rsidRPr="00000576">
        <w:rPr>
          <w:rFonts w:cstheme="minorHAnsi"/>
          <w:sz w:val="22"/>
          <w:szCs w:val="22"/>
        </w:rPr>
        <w:t xml:space="preserve"> u odnosu na</w:t>
      </w:r>
      <w:r w:rsidR="00797DD3">
        <w:rPr>
          <w:rFonts w:cstheme="minorHAnsi"/>
          <w:sz w:val="22"/>
          <w:szCs w:val="22"/>
        </w:rPr>
        <w:t xml:space="preserve"> isto razdoblje</w:t>
      </w:r>
      <w:r w:rsidR="00AE006E" w:rsidRPr="00000576">
        <w:rPr>
          <w:rFonts w:cstheme="minorHAnsi"/>
          <w:sz w:val="22"/>
          <w:szCs w:val="22"/>
        </w:rPr>
        <w:t xml:space="preserve"> prethodn</w:t>
      </w:r>
      <w:r w:rsidR="00797DD3">
        <w:rPr>
          <w:rFonts w:cstheme="minorHAnsi"/>
          <w:sz w:val="22"/>
          <w:szCs w:val="22"/>
        </w:rPr>
        <w:t>e</w:t>
      </w:r>
      <w:r w:rsidR="00AE006E" w:rsidRPr="00000576">
        <w:rPr>
          <w:rFonts w:cstheme="minorHAnsi"/>
          <w:sz w:val="22"/>
          <w:szCs w:val="22"/>
        </w:rPr>
        <w:t xml:space="preserve"> godin</w:t>
      </w:r>
      <w:r w:rsidR="00797DD3">
        <w:rPr>
          <w:rFonts w:cstheme="minorHAnsi"/>
          <w:sz w:val="22"/>
          <w:szCs w:val="22"/>
        </w:rPr>
        <w:t>e</w:t>
      </w:r>
      <w:r w:rsidR="008362B3" w:rsidRPr="00000576">
        <w:rPr>
          <w:rFonts w:cstheme="minorHAnsi"/>
          <w:sz w:val="22"/>
          <w:szCs w:val="22"/>
        </w:rPr>
        <w:t>.</w:t>
      </w:r>
    </w:p>
    <w:p w14:paraId="0956E95E" w14:textId="135B8BBC" w:rsidR="006C2915" w:rsidRPr="006C2915" w:rsidRDefault="008362B3" w:rsidP="006C2915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000576">
        <w:rPr>
          <w:rFonts w:cstheme="minorHAnsi"/>
          <w:sz w:val="22"/>
          <w:szCs w:val="22"/>
        </w:rPr>
        <w:t xml:space="preserve">Rashodi za materijal i energiju ostvareni su u iznosu od </w:t>
      </w:r>
      <w:r w:rsidR="007867D5" w:rsidRPr="007867D5">
        <w:rPr>
          <w:rFonts w:cstheme="minorHAnsi"/>
          <w:sz w:val="22"/>
          <w:szCs w:val="22"/>
        </w:rPr>
        <w:t>10.515,91</w:t>
      </w:r>
      <w:r w:rsidR="00797DD3">
        <w:rPr>
          <w:rFonts w:cstheme="minorHAnsi"/>
          <w:sz w:val="22"/>
          <w:szCs w:val="22"/>
        </w:rPr>
        <w:t xml:space="preserve"> eura</w:t>
      </w:r>
      <w:r w:rsidRPr="00000576">
        <w:rPr>
          <w:rFonts w:cstheme="minorHAnsi"/>
          <w:sz w:val="22"/>
          <w:szCs w:val="22"/>
        </w:rPr>
        <w:t xml:space="preserve">, </w:t>
      </w:r>
      <w:r w:rsidR="00766CBB">
        <w:rPr>
          <w:rFonts w:cstheme="minorHAnsi"/>
          <w:sz w:val="22"/>
          <w:szCs w:val="22"/>
        </w:rPr>
        <w:t>a n</w:t>
      </w:r>
      <w:r w:rsidR="006C2915" w:rsidRPr="006C2915">
        <w:rPr>
          <w:rFonts w:cstheme="minorHAnsi"/>
          <w:sz w:val="22"/>
          <w:szCs w:val="22"/>
        </w:rPr>
        <w:t xml:space="preserve">ajveći dio </w:t>
      </w:r>
      <w:r w:rsidR="006C2915">
        <w:rPr>
          <w:rFonts w:cstheme="minorHAnsi"/>
          <w:sz w:val="22"/>
          <w:szCs w:val="22"/>
        </w:rPr>
        <w:t>ovih</w:t>
      </w:r>
      <w:r w:rsidR="006C2915" w:rsidRPr="006C2915">
        <w:rPr>
          <w:rFonts w:cstheme="minorHAnsi"/>
          <w:sz w:val="22"/>
          <w:szCs w:val="22"/>
        </w:rPr>
        <w:t xml:space="preserve"> rashoda odnosi na rashode za energiju u iznosu</w:t>
      </w:r>
      <w:r w:rsidR="006C2915">
        <w:rPr>
          <w:rFonts w:cstheme="minorHAnsi"/>
          <w:sz w:val="22"/>
          <w:szCs w:val="22"/>
        </w:rPr>
        <w:t xml:space="preserve"> </w:t>
      </w:r>
      <w:r w:rsidR="007867D5" w:rsidRPr="007867D5">
        <w:rPr>
          <w:rFonts w:cstheme="minorHAnsi"/>
          <w:sz w:val="22"/>
          <w:szCs w:val="22"/>
        </w:rPr>
        <w:t>7.011,30</w:t>
      </w:r>
      <w:r w:rsidR="00797DD3">
        <w:rPr>
          <w:rFonts w:cstheme="minorHAnsi"/>
          <w:sz w:val="22"/>
          <w:szCs w:val="22"/>
        </w:rPr>
        <w:t xml:space="preserve"> eura</w:t>
      </w:r>
      <w:r w:rsidR="006C2915" w:rsidRPr="006C2915">
        <w:rPr>
          <w:rFonts w:cstheme="minorHAnsi"/>
          <w:sz w:val="22"/>
          <w:szCs w:val="22"/>
        </w:rPr>
        <w:t xml:space="preserve">, a ostatak izvršenih rashoda odnosi se na rashode za uredski materijal, </w:t>
      </w:r>
      <w:r w:rsidR="006C2915" w:rsidRPr="00B65D8F">
        <w:rPr>
          <w:rFonts w:cstheme="minorHAnsi"/>
          <w:sz w:val="22"/>
          <w:szCs w:val="22"/>
        </w:rPr>
        <w:t xml:space="preserve">pretplatu na stručnu literaturu, </w:t>
      </w:r>
      <w:r w:rsidR="005A7AFD">
        <w:rPr>
          <w:rFonts w:cstheme="minorHAnsi"/>
          <w:sz w:val="22"/>
          <w:szCs w:val="22"/>
        </w:rPr>
        <w:t>materijal za čišćenje i sitni inventar</w:t>
      </w:r>
      <w:r w:rsidR="006C2915" w:rsidRPr="00B65D8F">
        <w:rPr>
          <w:rFonts w:cstheme="minorHAnsi"/>
          <w:sz w:val="22"/>
          <w:szCs w:val="22"/>
        </w:rPr>
        <w:t>.</w:t>
      </w:r>
    </w:p>
    <w:p w14:paraId="10896C29" w14:textId="114FFB9E" w:rsidR="00374739" w:rsidRPr="00374739" w:rsidRDefault="00374739" w:rsidP="00B97AEC">
      <w:pPr>
        <w:spacing w:before="0" w:after="0" w:line="240" w:lineRule="auto"/>
        <w:jc w:val="both"/>
        <w:rPr>
          <w:rFonts w:cstheme="minorHAnsi"/>
          <w:sz w:val="22"/>
          <w:szCs w:val="22"/>
        </w:rPr>
      </w:pPr>
      <w:r w:rsidRPr="00374739">
        <w:rPr>
          <w:rFonts w:cstheme="minorHAnsi"/>
          <w:sz w:val="22"/>
          <w:szCs w:val="22"/>
        </w:rPr>
        <w:t xml:space="preserve">Rashodi za usluge su realizirani u iznosu od </w:t>
      </w:r>
      <w:r w:rsidR="00BF4197" w:rsidRPr="00BF4197">
        <w:rPr>
          <w:rFonts w:cstheme="minorHAnsi"/>
          <w:sz w:val="22"/>
          <w:szCs w:val="22"/>
        </w:rPr>
        <w:t>119.828,91</w:t>
      </w:r>
      <w:r w:rsidR="00797DD3">
        <w:rPr>
          <w:rFonts w:cstheme="minorHAnsi"/>
          <w:sz w:val="22"/>
          <w:szCs w:val="22"/>
        </w:rPr>
        <w:t xml:space="preserve"> eura</w:t>
      </w:r>
      <w:r w:rsidRPr="00374739">
        <w:rPr>
          <w:rFonts w:cstheme="minorHAnsi"/>
          <w:sz w:val="22"/>
          <w:szCs w:val="22"/>
        </w:rPr>
        <w:t xml:space="preserve">, te su </w:t>
      </w:r>
      <w:r w:rsidR="00BF4197">
        <w:rPr>
          <w:rFonts w:cstheme="minorHAnsi"/>
          <w:sz w:val="22"/>
          <w:szCs w:val="22"/>
        </w:rPr>
        <w:t>18,82</w:t>
      </w:r>
      <w:r w:rsidRPr="00374739">
        <w:rPr>
          <w:rFonts w:cstheme="minorHAnsi"/>
          <w:sz w:val="22"/>
          <w:szCs w:val="22"/>
        </w:rPr>
        <w:t xml:space="preserve">% </w:t>
      </w:r>
      <w:r w:rsidR="00BF4197">
        <w:rPr>
          <w:rFonts w:cstheme="minorHAnsi"/>
          <w:sz w:val="22"/>
          <w:szCs w:val="22"/>
        </w:rPr>
        <w:t>veći</w:t>
      </w:r>
      <w:r w:rsidRPr="00374739">
        <w:rPr>
          <w:rFonts w:cstheme="minorHAnsi"/>
          <w:sz w:val="22"/>
          <w:szCs w:val="22"/>
        </w:rPr>
        <w:t xml:space="preserve"> u odnosu na pretho</w:t>
      </w:r>
      <w:r w:rsidR="00B97AEC">
        <w:rPr>
          <w:rFonts w:cstheme="minorHAnsi"/>
          <w:sz w:val="22"/>
          <w:szCs w:val="22"/>
        </w:rPr>
        <w:t>dnu godinu, a obuhvaćaju usluge</w:t>
      </w:r>
      <w:r w:rsidRPr="00374739">
        <w:rPr>
          <w:rFonts w:cstheme="minorHAnsi"/>
          <w:sz w:val="22"/>
          <w:szCs w:val="22"/>
        </w:rPr>
        <w:t xml:space="preserve"> tekućeg i investicijskog održavanja, promidžbe i informiranja, komunalne usluge, </w:t>
      </w:r>
      <w:r w:rsidR="00B97AEC">
        <w:rPr>
          <w:rFonts w:cstheme="minorHAnsi"/>
          <w:sz w:val="22"/>
          <w:szCs w:val="22"/>
        </w:rPr>
        <w:t xml:space="preserve">te </w:t>
      </w:r>
      <w:r w:rsidR="00B97AEC" w:rsidRPr="00B97AEC">
        <w:rPr>
          <w:rFonts w:cstheme="minorHAnsi"/>
          <w:sz w:val="22"/>
          <w:szCs w:val="22"/>
        </w:rPr>
        <w:t>druge</w:t>
      </w:r>
      <w:r w:rsidR="00B97AEC">
        <w:rPr>
          <w:rFonts w:cstheme="minorHAnsi"/>
          <w:sz w:val="22"/>
          <w:szCs w:val="22"/>
        </w:rPr>
        <w:t xml:space="preserve"> </w:t>
      </w:r>
      <w:r w:rsidR="00B97AEC" w:rsidRPr="00B97AEC">
        <w:rPr>
          <w:rFonts w:cstheme="minorHAnsi"/>
          <w:sz w:val="22"/>
          <w:szCs w:val="22"/>
        </w:rPr>
        <w:t>usluge vezane za redovno poslovanje i izvršavanje programskih aktivnosti</w:t>
      </w:r>
      <w:r w:rsidRPr="00374739">
        <w:rPr>
          <w:rFonts w:cstheme="minorHAnsi"/>
          <w:sz w:val="22"/>
          <w:szCs w:val="22"/>
        </w:rPr>
        <w:t>, od kojih najveći udio imaju:</w:t>
      </w:r>
    </w:p>
    <w:p w14:paraId="03072336" w14:textId="2CA964BC" w:rsidR="00374739" w:rsidRDefault="00374739" w:rsidP="005B1DE6">
      <w:pPr>
        <w:pStyle w:val="Odlomakpopisa"/>
        <w:numPr>
          <w:ilvl w:val="0"/>
          <w:numId w:val="6"/>
        </w:num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374739">
        <w:rPr>
          <w:rFonts w:cstheme="minorHAnsi"/>
          <w:sz w:val="22"/>
          <w:szCs w:val="22"/>
        </w:rPr>
        <w:t xml:space="preserve">usluge tekućeg </w:t>
      </w:r>
      <w:r w:rsidR="00B97AEC">
        <w:rPr>
          <w:rFonts w:cstheme="minorHAnsi"/>
          <w:sz w:val="22"/>
          <w:szCs w:val="22"/>
        </w:rPr>
        <w:t>i investicijskog održavanja koje</w:t>
      </w:r>
      <w:r w:rsidRPr="00374739">
        <w:rPr>
          <w:rFonts w:cstheme="minorHAnsi"/>
          <w:sz w:val="22"/>
          <w:szCs w:val="22"/>
        </w:rPr>
        <w:t xml:space="preserve"> iznos</w:t>
      </w:r>
      <w:r w:rsidR="00B97AEC">
        <w:rPr>
          <w:rFonts w:cstheme="minorHAnsi"/>
          <w:sz w:val="22"/>
          <w:szCs w:val="22"/>
        </w:rPr>
        <w:t>e</w:t>
      </w:r>
      <w:r w:rsidRPr="00374739">
        <w:rPr>
          <w:rFonts w:cstheme="minorHAnsi"/>
          <w:sz w:val="22"/>
          <w:szCs w:val="22"/>
        </w:rPr>
        <w:t xml:space="preserve"> </w:t>
      </w:r>
      <w:r w:rsidR="00BF4197" w:rsidRPr="00BF4197">
        <w:rPr>
          <w:rFonts w:cstheme="minorHAnsi"/>
          <w:sz w:val="22"/>
          <w:szCs w:val="22"/>
        </w:rPr>
        <w:t>79.774,97</w:t>
      </w:r>
      <w:r w:rsidR="005B1DE6">
        <w:rPr>
          <w:rFonts w:cstheme="minorHAnsi"/>
          <w:sz w:val="22"/>
          <w:szCs w:val="22"/>
        </w:rPr>
        <w:t xml:space="preserve"> eura</w:t>
      </w:r>
      <w:r w:rsidRPr="00374739">
        <w:rPr>
          <w:rFonts w:cstheme="minorHAnsi"/>
          <w:sz w:val="22"/>
          <w:szCs w:val="22"/>
        </w:rPr>
        <w:t>, a obuhvaća u najvećem dijelu održavanje komunalne infrastrukture (održavanje nerazvrstanih cesta i poljskih puteva, pješačkih staza, javne rasvjete, javnih površina) te održavanje domova i ostalih objekata u vlasništvu Općine</w:t>
      </w:r>
      <w:r w:rsidR="00F76FE6">
        <w:rPr>
          <w:rFonts w:cstheme="minorHAnsi"/>
          <w:sz w:val="22"/>
          <w:szCs w:val="22"/>
        </w:rPr>
        <w:t>,</w:t>
      </w:r>
    </w:p>
    <w:p w14:paraId="378F89A7" w14:textId="77777777" w:rsidR="00BF4197" w:rsidRPr="00F76FE6" w:rsidRDefault="00BF4197" w:rsidP="00BF4197">
      <w:pPr>
        <w:pStyle w:val="Odlomakpopisa"/>
        <w:numPr>
          <w:ilvl w:val="0"/>
          <w:numId w:val="6"/>
        </w:num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374739">
        <w:rPr>
          <w:rFonts w:cstheme="minorHAnsi"/>
          <w:sz w:val="22"/>
          <w:szCs w:val="22"/>
        </w:rPr>
        <w:t xml:space="preserve">intelektualne i osobne usluge u iznosu od </w:t>
      </w:r>
      <w:r w:rsidRPr="00BF4197">
        <w:rPr>
          <w:rFonts w:cstheme="minorHAnsi"/>
          <w:sz w:val="22"/>
          <w:szCs w:val="22"/>
        </w:rPr>
        <w:t>18.728,75</w:t>
      </w:r>
      <w:r>
        <w:rPr>
          <w:rFonts w:cstheme="minorHAnsi"/>
          <w:sz w:val="22"/>
          <w:szCs w:val="22"/>
        </w:rPr>
        <w:t xml:space="preserve"> eura</w:t>
      </w:r>
      <w:r w:rsidRPr="00374739">
        <w:rPr>
          <w:rFonts w:cstheme="minorHAnsi"/>
          <w:sz w:val="22"/>
          <w:szCs w:val="22"/>
        </w:rPr>
        <w:t xml:space="preserve">, koje se odnose na usluge računovodstva, usluge </w:t>
      </w:r>
      <w:r>
        <w:rPr>
          <w:rFonts w:cstheme="minorHAnsi"/>
          <w:sz w:val="22"/>
          <w:szCs w:val="22"/>
        </w:rPr>
        <w:t>procjene vrijednosti nekretnina</w:t>
      </w:r>
      <w:r w:rsidRPr="00374739">
        <w:rPr>
          <w:rFonts w:cstheme="minorHAnsi"/>
          <w:sz w:val="22"/>
          <w:szCs w:val="22"/>
        </w:rPr>
        <w:t xml:space="preserve">, </w:t>
      </w:r>
      <w:r>
        <w:rPr>
          <w:rFonts w:cstheme="minorHAnsi"/>
          <w:sz w:val="22"/>
          <w:szCs w:val="22"/>
        </w:rPr>
        <w:t xml:space="preserve">te geodetsko-katastarske </w:t>
      </w:r>
      <w:r w:rsidRPr="00374739">
        <w:rPr>
          <w:rFonts w:cstheme="minorHAnsi"/>
          <w:sz w:val="22"/>
          <w:szCs w:val="22"/>
        </w:rPr>
        <w:t xml:space="preserve">usluge </w:t>
      </w:r>
      <w:r>
        <w:rPr>
          <w:rFonts w:cstheme="minorHAnsi"/>
          <w:sz w:val="22"/>
          <w:szCs w:val="22"/>
        </w:rPr>
        <w:t>i ostale usluge.</w:t>
      </w:r>
    </w:p>
    <w:p w14:paraId="5B6BE920" w14:textId="436D5CDD" w:rsidR="00766CBB" w:rsidRDefault="00766CBB" w:rsidP="00766CBB">
      <w:pPr>
        <w:pStyle w:val="Odlomakpopisa"/>
        <w:numPr>
          <w:ilvl w:val="0"/>
          <w:numId w:val="6"/>
        </w:num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374739">
        <w:rPr>
          <w:rFonts w:cstheme="minorHAnsi"/>
          <w:sz w:val="22"/>
          <w:szCs w:val="22"/>
        </w:rPr>
        <w:t>komunalne usluge</w:t>
      </w:r>
      <w:r>
        <w:rPr>
          <w:rFonts w:cstheme="minorHAnsi"/>
          <w:sz w:val="22"/>
          <w:szCs w:val="22"/>
        </w:rPr>
        <w:t xml:space="preserve"> u iznosu od</w:t>
      </w:r>
      <w:r w:rsidRPr="00374739">
        <w:rPr>
          <w:rFonts w:cstheme="minorHAnsi"/>
          <w:sz w:val="22"/>
          <w:szCs w:val="22"/>
        </w:rPr>
        <w:t xml:space="preserve"> </w:t>
      </w:r>
      <w:r w:rsidR="00BF4197" w:rsidRPr="00BF4197">
        <w:rPr>
          <w:rFonts w:cstheme="minorHAnsi"/>
          <w:sz w:val="22"/>
          <w:szCs w:val="22"/>
        </w:rPr>
        <w:t>11.237,44</w:t>
      </w:r>
      <w:r>
        <w:rPr>
          <w:rFonts w:cstheme="minorHAnsi"/>
          <w:sz w:val="22"/>
          <w:szCs w:val="22"/>
        </w:rPr>
        <w:t xml:space="preserve"> eura</w:t>
      </w:r>
      <w:r w:rsidRPr="00374739">
        <w:rPr>
          <w:rFonts w:cstheme="minorHAnsi"/>
          <w:sz w:val="22"/>
          <w:szCs w:val="22"/>
        </w:rPr>
        <w:t>, a obuhvaćaju rashode za odvoz otpada, opskrbu vodom, uslugu deratizacije i dezinsekcije</w:t>
      </w:r>
      <w:r>
        <w:rPr>
          <w:rFonts w:cstheme="minorHAnsi"/>
          <w:sz w:val="22"/>
          <w:szCs w:val="22"/>
        </w:rPr>
        <w:t>, zbrinjavanja napuštenih životinja i uređenja kanalske mreže.</w:t>
      </w:r>
    </w:p>
    <w:p w14:paraId="6711FDD8" w14:textId="008EEEBF" w:rsidR="00845ABE" w:rsidRPr="00000576" w:rsidRDefault="00845ABE" w:rsidP="00000576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000576">
        <w:rPr>
          <w:rFonts w:cstheme="minorHAnsi"/>
          <w:sz w:val="22"/>
          <w:szCs w:val="22"/>
        </w:rPr>
        <w:t xml:space="preserve">Ostali nespomenuti rashodi poslovanja </w:t>
      </w:r>
      <w:r w:rsidR="00E67766">
        <w:rPr>
          <w:rFonts w:cstheme="minorHAnsi"/>
          <w:sz w:val="22"/>
          <w:szCs w:val="22"/>
        </w:rPr>
        <w:t xml:space="preserve">ostvareni su iznosu od </w:t>
      </w:r>
      <w:r w:rsidR="00BF4197" w:rsidRPr="00BF4197">
        <w:rPr>
          <w:rFonts w:cstheme="minorHAnsi"/>
          <w:sz w:val="22"/>
          <w:szCs w:val="22"/>
        </w:rPr>
        <w:t>20.732,43</w:t>
      </w:r>
      <w:r w:rsidR="005B1DE6">
        <w:rPr>
          <w:rFonts w:cstheme="minorHAnsi"/>
          <w:sz w:val="22"/>
          <w:szCs w:val="22"/>
        </w:rPr>
        <w:t xml:space="preserve"> eura</w:t>
      </w:r>
      <w:r w:rsidR="00E67766">
        <w:rPr>
          <w:rFonts w:cstheme="minorHAnsi"/>
          <w:sz w:val="22"/>
          <w:szCs w:val="22"/>
        </w:rPr>
        <w:t xml:space="preserve">, a </w:t>
      </w:r>
      <w:r w:rsidRPr="00000576">
        <w:rPr>
          <w:rFonts w:cstheme="minorHAnsi"/>
          <w:sz w:val="22"/>
          <w:szCs w:val="22"/>
        </w:rPr>
        <w:t xml:space="preserve">obuhvaćaju </w:t>
      </w:r>
      <w:r w:rsidR="00AF0D77" w:rsidRPr="00000576">
        <w:rPr>
          <w:rFonts w:cstheme="minorHAnsi"/>
          <w:sz w:val="22"/>
          <w:szCs w:val="22"/>
        </w:rPr>
        <w:t xml:space="preserve">rashode kao što su </w:t>
      </w:r>
      <w:r w:rsidR="00304651">
        <w:rPr>
          <w:rFonts w:cstheme="minorHAnsi"/>
          <w:sz w:val="22"/>
          <w:szCs w:val="22"/>
        </w:rPr>
        <w:t xml:space="preserve">naknade za rad povjerenstava, </w:t>
      </w:r>
      <w:r w:rsidR="00E77D1E" w:rsidRPr="00E77D1E">
        <w:rPr>
          <w:rFonts w:cstheme="minorHAnsi"/>
          <w:sz w:val="22"/>
          <w:szCs w:val="22"/>
        </w:rPr>
        <w:t>reprezentacij</w:t>
      </w:r>
      <w:r w:rsidR="00E77D1E">
        <w:rPr>
          <w:rFonts w:cstheme="minorHAnsi"/>
          <w:sz w:val="22"/>
          <w:szCs w:val="22"/>
        </w:rPr>
        <w:t>a</w:t>
      </w:r>
      <w:r w:rsidR="00E77D1E" w:rsidRPr="00E77D1E">
        <w:rPr>
          <w:rFonts w:cstheme="minorHAnsi"/>
          <w:sz w:val="22"/>
          <w:szCs w:val="22"/>
        </w:rPr>
        <w:t xml:space="preserve">, </w:t>
      </w:r>
      <w:r w:rsidR="00A42AC6">
        <w:rPr>
          <w:rFonts w:cstheme="minorHAnsi"/>
          <w:sz w:val="22"/>
          <w:szCs w:val="22"/>
        </w:rPr>
        <w:t>troškovi javnih bilježnika,</w:t>
      </w:r>
      <w:r w:rsidR="00A42AC6" w:rsidRPr="00000576">
        <w:rPr>
          <w:rFonts w:cstheme="minorHAnsi"/>
          <w:sz w:val="22"/>
          <w:szCs w:val="22"/>
        </w:rPr>
        <w:t xml:space="preserve"> pristojbe</w:t>
      </w:r>
      <w:r w:rsidR="00A42AC6">
        <w:rPr>
          <w:rFonts w:cstheme="minorHAnsi"/>
          <w:sz w:val="22"/>
          <w:szCs w:val="22"/>
        </w:rPr>
        <w:t>,</w:t>
      </w:r>
      <w:r w:rsidR="00A42AC6" w:rsidRPr="00E77D1E">
        <w:rPr>
          <w:rFonts w:cstheme="minorHAnsi"/>
          <w:sz w:val="22"/>
          <w:szCs w:val="22"/>
        </w:rPr>
        <w:t xml:space="preserve"> </w:t>
      </w:r>
      <w:r w:rsidR="00E77D1E" w:rsidRPr="00E77D1E">
        <w:rPr>
          <w:rFonts w:cstheme="minorHAnsi"/>
          <w:sz w:val="22"/>
          <w:szCs w:val="22"/>
        </w:rPr>
        <w:t>članarine</w:t>
      </w:r>
      <w:r w:rsidR="00BF4197">
        <w:rPr>
          <w:rFonts w:cstheme="minorHAnsi"/>
          <w:sz w:val="22"/>
          <w:szCs w:val="22"/>
        </w:rPr>
        <w:t>, a višestruko su povećani zbog troškova provedbe lokalnih izbora</w:t>
      </w:r>
      <w:r w:rsidRPr="00000576">
        <w:rPr>
          <w:rFonts w:cstheme="minorHAnsi"/>
          <w:sz w:val="22"/>
          <w:szCs w:val="22"/>
        </w:rPr>
        <w:t>.</w:t>
      </w:r>
    </w:p>
    <w:p w14:paraId="384434CA" w14:textId="6039F063" w:rsidR="006726D0" w:rsidRPr="00000576" w:rsidRDefault="006726D0" w:rsidP="00000576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</w:p>
    <w:p w14:paraId="2BAA03BF" w14:textId="0E85C87A" w:rsidR="001924E7" w:rsidRPr="00F40BBA" w:rsidRDefault="00F40BBA" w:rsidP="00165728">
      <w:pPr>
        <w:pStyle w:val="Naslov3"/>
        <w:numPr>
          <w:ilvl w:val="2"/>
          <w:numId w:val="4"/>
        </w:numPr>
        <w:spacing w:before="0" w:after="120"/>
        <w:ind w:left="561"/>
        <w:rPr>
          <w:b/>
          <w:sz w:val="22"/>
        </w:rPr>
      </w:pPr>
      <w:bookmarkStart w:id="23" w:name="_Toc209436503"/>
      <w:r w:rsidRPr="00F40BBA">
        <w:rPr>
          <w:b/>
          <w:caps w:val="0"/>
          <w:sz w:val="22"/>
        </w:rPr>
        <w:t>Financijski rashodi</w:t>
      </w:r>
      <w:bookmarkEnd w:id="23"/>
    </w:p>
    <w:p w14:paraId="345E927A" w14:textId="1168A3FF" w:rsidR="003C1908" w:rsidRDefault="001924E7" w:rsidP="00000576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140F2C">
        <w:rPr>
          <w:rFonts w:cstheme="minorHAnsi"/>
          <w:sz w:val="22"/>
          <w:szCs w:val="22"/>
        </w:rPr>
        <w:t xml:space="preserve">Financijski rashodi su ostvareni u iznosu od </w:t>
      </w:r>
      <w:r w:rsidR="00304651" w:rsidRPr="00304651">
        <w:rPr>
          <w:rFonts w:cstheme="minorHAnsi"/>
          <w:sz w:val="22"/>
          <w:szCs w:val="22"/>
        </w:rPr>
        <w:t>8.103,29</w:t>
      </w:r>
      <w:r w:rsidR="00140F2C">
        <w:rPr>
          <w:rFonts w:cstheme="minorHAnsi"/>
          <w:sz w:val="22"/>
          <w:szCs w:val="22"/>
        </w:rPr>
        <w:t xml:space="preserve"> eura</w:t>
      </w:r>
      <w:r w:rsidRPr="00140F2C">
        <w:rPr>
          <w:rFonts w:cstheme="minorHAnsi"/>
          <w:sz w:val="22"/>
          <w:szCs w:val="22"/>
        </w:rPr>
        <w:t xml:space="preserve"> čime je ostvareno </w:t>
      </w:r>
      <w:r w:rsidR="00304651">
        <w:rPr>
          <w:rFonts w:cstheme="minorHAnsi"/>
          <w:sz w:val="22"/>
          <w:szCs w:val="22"/>
        </w:rPr>
        <w:t>62,82</w:t>
      </w:r>
      <w:r w:rsidRPr="00140F2C">
        <w:rPr>
          <w:rFonts w:cstheme="minorHAnsi"/>
          <w:sz w:val="22"/>
          <w:szCs w:val="22"/>
        </w:rPr>
        <w:t>% Plana za 20</w:t>
      </w:r>
      <w:r w:rsidR="003C6F29" w:rsidRPr="00140F2C">
        <w:rPr>
          <w:rFonts w:cstheme="minorHAnsi"/>
          <w:sz w:val="22"/>
          <w:szCs w:val="22"/>
        </w:rPr>
        <w:t>2</w:t>
      </w:r>
      <w:r w:rsidR="00304651">
        <w:rPr>
          <w:rFonts w:cstheme="minorHAnsi"/>
          <w:sz w:val="22"/>
          <w:szCs w:val="22"/>
        </w:rPr>
        <w:t>5</w:t>
      </w:r>
      <w:r w:rsidRPr="00140F2C">
        <w:rPr>
          <w:rFonts w:cstheme="minorHAnsi"/>
          <w:sz w:val="22"/>
          <w:szCs w:val="22"/>
        </w:rPr>
        <w:t xml:space="preserve">. godinu. U usporedbi s prethodnom godinom financijski rashodi </w:t>
      </w:r>
      <w:r w:rsidR="00BA132B">
        <w:rPr>
          <w:rFonts w:cstheme="minorHAnsi"/>
          <w:sz w:val="22"/>
          <w:szCs w:val="22"/>
        </w:rPr>
        <w:t>su povećani</w:t>
      </w:r>
      <w:r w:rsidRPr="00140F2C">
        <w:rPr>
          <w:rFonts w:cstheme="minorHAnsi"/>
          <w:sz w:val="22"/>
          <w:szCs w:val="22"/>
        </w:rPr>
        <w:t xml:space="preserve"> za</w:t>
      </w:r>
      <w:r w:rsidR="003C6F29" w:rsidRPr="00140F2C">
        <w:rPr>
          <w:rFonts w:cstheme="minorHAnsi"/>
          <w:sz w:val="22"/>
          <w:szCs w:val="22"/>
        </w:rPr>
        <w:t xml:space="preserve"> </w:t>
      </w:r>
      <w:r w:rsidR="00304651">
        <w:rPr>
          <w:rFonts w:cstheme="minorHAnsi"/>
          <w:sz w:val="22"/>
          <w:szCs w:val="22"/>
        </w:rPr>
        <w:t>22,75</w:t>
      </w:r>
      <w:r w:rsidR="003C1908" w:rsidRPr="00140F2C">
        <w:rPr>
          <w:rFonts w:cstheme="minorHAnsi"/>
          <w:sz w:val="22"/>
          <w:szCs w:val="22"/>
        </w:rPr>
        <w:t>%</w:t>
      </w:r>
      <w:r w:rsidR="00BA132B">
        <w:rPr>
          <w:rFonts w:cstheme="minorHAnsi"/>
          <w:sz w:val="22"/>
          <w:szCs w:val="22"/>
        </w:rPr>
        <w:t xml:space="preserve"> zbog </w:t>
      </w:r>
      <w:r w:rsidR="00304651">
        <w:rPr>
          <w:rFonts w:cstheme="minorHAnsi"/>
          <w:sz w:val="22"/>
          <w:szCs w:val="22"/>
        </w:rPr>
        <w:t>povećanih rashoda za kamate</w:t>
      </w:r>
      <w:r w:rsidR="003C1908" w:rsidRPr="00140F2C">
        <w:rPr>
          <w:rFonts w:cstheme="minorHAnsi"/>
          <w:sz w:val="22"/>
          <w:szCs w:val="22"/>
        </w:rPr>
        <w:t>.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6"/>
        <w:gridCol w:w="4826"/>
        <w:gridCol w:w="993"/>
        <w:gridCol w:w="1131"/>
        <w:gridCol w:w="1077"/>
        <w:gridCol w:w="919"/>
        <w:gridCol w:w="954"/>
      </w:tblGrid>
      <w:tr w:rsidR="00304651" w:rsidRPr="00304651" w14:paraId="16E91F10" w14:textId="77777777" w:rsidTr="00304651">
        <w:trPr>
          <w:trHeight w:val="227"/>
        </w:trPr>
        <w:tc>
          <w:tcPr>
            <w:tcW w:w="2574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164D1E8E" w14:textId="77777777" w:rsidR="00304651" w:rsidRPr="00304651" w:rsidRDefault="00304651" w:rsidP="003046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04651">
              <w:rPr>
                <w:rFonts w:ascii="Calibri" w:eastAsia="Times New Roman" w:hAnsi="Calibri" w:cs="Calibri"/>
                <w:color w:val="000000"/>
                <w:lang w:eastAsia="hr-HR"/>
              </w:rPr>
              <w:t>Brojčana oznaka i naziv računa</w:t>
            </w:r>
          </w:p>
        </w:tc>
        <w:tc>
          <w:tcPr>
            <w:tcW w:w="4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50EB312D" w14:textId="77777777" w:rsidR="00304651" w:rsidRDefault="00304651" w:rsidP="003046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04651">
              <w:rPr>
                <w:rFonts w:ascii="Calibri" w:eastAsia="Times New Roman" w:hAnsi="Calibri" w:cs="Calibri"/>
                <w:color w:val="000000"/>
                <w:lang w:eastAsia="hr-HR"/>
              </w:rPr>
              <w:t>Izvršenje</w:t>
            </w:r>
          </w:p>
          <w:p w14:paraId="2799E9AE" w14:textId="61533A29" w:rsidR="00304651" w:rsidRPr="00304651" w:rsidRDefault="00304651" w:rsidP="003046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04651">
              <w:rPr>
                <w:rFonts w:ascii="Calibri" w:eastAsia="Times New Roman" w:hAnsi="Calibri" w:cs="Calibri"/>
                <w:color w:val="000000"/>
                <w:lang w:eastAsia="hr-HR"/>
              </w:rPr>
              <w:t>I-VI 2024.</w:t>
            </w:r>
          </w:p>
        </w:tc>
        <w:tc>
          <w:tcPr>
            <w:tcW w:w="541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56A6859C" w14:textId="77777777" w:rsidR="00304651" w:rsidRPr="00304651" w:rsidRDefault="00304651" w:rsidP="003046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04651">
              <w:rPr>
                <w:rFonts w:ascii="Calibri" w:eastAsia="Times New Roman" w:hAnsi="Calibri" w:cs="Calibri"/>
                <w:color w:val="000000"/>
                <w:lang w:eastAsia="hr-HR"/>
              </w:rPr>
              <w:t>Proračun 2025</w:t>
            </w:r>
          </w:p>
        </w:tc>
        <w:tc>
          <w:tcPr>
            <w:tcW w:w="51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3EDF1712" w14:textId="77777777" w:rsidR="00304651" w:rsidRDefault="00304651" w:rsidP="003046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04651">
              <w:rPr>
                <w:rFonts w:ascii="Calibri" w:eastAsia="Times New Roman" w:hAnsi="Calibri" w:cs="Calibri"/>
                <w:color w:val="000000"/>
                <w:lang w:eastAsia="hr-HR"/>
              </w:rPr>
              <w:t>Izvršenje</w:t>
            </w:r>
          </w:p>
          <w:p w14:paraId="4D60A3DD" w14:textId="171C9725" w:rsidR="00304651" w:rsidRPr="00304651" w:rsidRDefault="00304651" w:rsidP="003046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04651">
              <w:rPr>
                <w:rFonts w:ascii="Calibri" w:eastAsia="Times New Roman" w:hAnsi="Calibri" w:cs="Calibri"/>
                <w:color w:val="000000"/>
                <w:lang w:eastAsia="hr-HR"/>
              </w:rPr>
              <w:t>I-VI 2025.</w:t>
            </w:r>
          </w:p>
        </w:tc>
        <w:tc>
          <w:tcPr>
            <w:tcW w:w="439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0F7B283C" w14:textId="77777777" w:rsidR="00304651" w:rsidRPr="00304651" w:rsidRDefault="00304651" w:rsidP="003046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04651">
              <w:rPr>
                <w:rFonts w:ascii="Calibri" w:eastAsia="Times New Roman" w:hAnsi="Calibri" w:cs="Calibri"/>
                <w:color w:val="000000"/>
                <w:lang w:eastAsia="hr-HR"/>
              </w:rPr>
              <w:t>Indeks (4/2*100)</w:t>
            </w:r>
          </w:p>
        </w:tc>
        <w:tc>
          <w:tcPr>
            <w:tcW w:w="456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02C33C33" w14:textId="77777777" w:rsidR="00304651" w:rsidRPr="00304651" w:rsidRDefault="00304651" w:rsidP="003046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04651">
              <w:rPr>
                <w:rFonts w:ascii="Calibri" w:eastAsia="Times New Roman" w:hAnsi="Calibri" w:cs="Calibri"/>
                <w:color w:val="000000"/>
                <w:lang w:eastAsia="hr-HR"/>
              </w:rPr>
              <w:t>Indeks (4/3*100)</w:t>
            </w:r>
          </w:p>
        </w:tc>
      </w:tr>
      <w:tr w:rsidR="00304651" w:rsidRPr="00304651" w14:paraId="4F4417D7" w14:textId="77777777" w:rsidTr="00304651">
        <w:trPr>
          <w:trHeight w:val="227"/>
        </w:trPr>
        <w:tc>
          <w:tcPr>
            <w:tcW w:w="2574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7E6E6"/>
            <w:noWrap/>
            <w:vAlign w:val="center"/>
            <w:hideMark/>
          </w:tcPr>
          <w:p w14:paraId="08595494" w14:textId="77777777" w:rsidR="00304651" w:rsidRPr="00304651" w:rsidRDefault="00304651" w:rsidP="003046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04651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vAlign w:val="center"/>
            <w:hideMark/>
          </w:tcPr>
          <w:p w14:paraId="660E58E0" w14:textId="77777777" w:rsidR="00304651" w:rsidRPr="00304651" w:rsidRDefault="00304651" w:rsidP="003046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04651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vAlign w:val="center"/>
            <w:hideMark/>
          </w:tcPr>
          <w:p w14:paraId="4F748289" w14:textId="77777777" w:rsidR="00304651" w:rsidRPr="00304651" w:rsidRDefault="00304651" w:rsidP="003046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04651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vAlign w:val="center"/>
            <w:hideMark/>
          </w:tcPr>
          <w:p w14:paraId="43C09098" w14:textId="77777777" w:rsidR="00304651" w:rsidRPr="00304651" w:rsidRDefault="00304651" w:rsidP="003046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04651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vAlign w:val="center"/>
            <w:hideMark/>
          </w:tcPr>
          <w:p w14:paraId="4D77F45B" w14:textId="77777777" w:rsidR="00304651" w:rsidRPr="00304651" w:rsidRDefault="00304651" w:rsidP="003046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04651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0DE6186F" w14:textId="77777777" w:rsidR="00304651" w:rsidRPr="00304651" w:rsidRDefault="00304651" w:rsidP="00304651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04651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</w:tr>
      <w:tr w:rsidR="00304651" w:rsidRPr="00304651" w14:paraId="0643F98B" w14:textId="77777777" w:rsidTr="00304651">
        <w:trPr>
          <w:trHeight w:val="227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25371D2" w14:textId="77777777" w:rsidR="00304651" w:rsidRPr="00304651" w:rsidRDefault="00304651" w:rsidP="0030465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0465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34</w:t>
            </w: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642292E" w14:textId="77777777" w:rsidR="00304651" w:rsidRPr="00304651" w:rsidRDefault="00304651" w:rsidP="00304651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0465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Financijski rashodi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332A3C7" w14:textId="77777777" w:rsidR="00304651" w:rsidRPr="00304651" w:rsidRDefault="00304651" w:rsidP="0030465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0465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6.601,39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8C1E083" w14:textId="77777777" w:rsidR="00304651" w:rsidRPr="00304651" w:rsidRDefault="00304651" w:rsidP="0030465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0465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12.900,00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0CEC58E" w14:textId="77777777" w:rsidR="00304651" w:rsidRPr="00304651" w:rsidRDefault="00304651" w:rsidP="0030465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0465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8.103,29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77D8265" w14:textId="77777777" w:rsidR="00304651" w:rsidRPr="00304651" w:rsidRDefault="00304651" w:rsidP="0030465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0465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122,75%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500442B" w14:textId="77777777" w:rsidR="00304651" w:rsidRPr="00304651" w:rsidRDefault="00304651" w:rsidP="0030465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04651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62,82%</w:t>
            </w:r>
          </w:p>
        </w:tc>
      </w:tr>
      <w:tr w:rsidR="00304651" w:rsidRPr="00304651" w14:paraId="6481996B" w14:textId="77777777" w:rsidTr="00304651">
        <w:trPr>
          <w:trHeight w:val="227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8C90DC1" w14:textId="77777777" w:rsidR="00304651" w:rsidRPr="00304651" w:rsidRDefault="00304651" w:rsidP="0030465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04651">
              <w:rPr>
                <w:rFonts w:ascii="Calibri" w:eastAsia="Times New Roman" w:hAnsi="Calibri" w:cs="Calibri"/>
                <w:color w:val="000000"/>
                <w:lang w:eastAsia="hr-HR"/>
              </w:rPr>
              <w:t>342</w:t>
            </w: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54219129" w14:textId="77777777" w:rsidR="00304651" w:rsidRPr="00304651" w:rsidRDefault="00304651" w:rsidP="0030465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04651">
              <w:rPr>
                <w:rFonts w:ascii="Calibri" w:eastAsia="Times New Roman" w:hAnsi="Calibri" w:cs="Calibri"/>
                <w:color w:val="000000"/>
                <w:lang w:eastAsia="hr-HR"/>
              </w:rPr>
              <w:t>Kamate za primljene kredite i zajmove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6CAA90A" w14:textId="77777777" w:rsidR="00304651" w:rsidRPr="00304651" w:rsidRDefault="00304651" w:rsidP="0030465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04651">
              <w:rPr>
                <w:rFonts w:ascii="Calibri" w:eastAsia="Times New Roman" w:hAnsi="Calibri" w:cs="Calibri"/>
                <w:color w:val="000000"/>
                <w:lang w:eastAsia="hr-HR"/>
              </w:rPr>
              <w:t>5.697,12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7C3A1A0" w14:textId="77777777" w:rsidR="00304651" w:rsidRPr="00304651" w:rsidRDefault="00304651" w:rsidP="0030465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0465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71C4B6C" w14:textId="77777777" w:rsidR="00304651" w:rsidRPr="00304651" w:rsidRDefault="00304651" w:rsidP="0030465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04651">
              <w:rPr>
                <w:rFonts w:ascii="Calibri" w:eastAsia="Times New Roman" w:hAnsi="Calibri" w:cs="Calibri"/>
                <w:color w:val="000000"/>
                <w:lang w:eastAsia="hr-HR"/>
              </w:rPr>
              <w:t>6.703,35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3862EF9" w14:textId="77777777" w:rsidR="00304651" w:rsidRPr="00304651" w:rsidRDefault="00304651" w:rsidP="0030465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04651">
              <w:rPr>
                <w:rFonts w:ascii="Calibri" w:eastAsia="Times New Roman" w:hAnsi="Calibri" w:cs="Calibri"/>
                <w:color w:val="000000"/>
                <w:lang w:eastAsia="hr-HR"/>
              </w:rPr>
              <w:t>117,66%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DC4DDE6" w14:textId="77777777" w:rsidR="00304651" w:rsidRPr="00304651" w:rsidRDefault="00304651" w:rsidP="0030465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0465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04651" w:rsidRPr="00304651" w14:paraId="0C67F599" w14:textId="77777777" w:rsidTr="00304651">
        <w:trPr>
          <w:trHeight w:val="227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AE7880B" w14:textId="77777777" w:rsidR="00304651" w:rsidRPr="00304651" w:rsidRDefault="00304651" w:rsidP="0030465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04651">
              <w:rPr>
                <w:rFonts w:ascii="Calibri" w:eastAsia="Times New Roman" w:hAnsi="Calibri" w:cs="Calibri"/>
                <w:color w:val="000000"/>
                <w:lang w:eastAsia="hr-HR"/>
              </w:rPr>
              <w:t>3423</w:t>
            </w: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7F5AF698" w14:textId="77777777" w:rsidR="00304651" w:rsidRPr="00304651" w:rsidRDefault="00304651" w:rsidP="0030465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04651">
              <w:rPr>
                <w:rFonts w:ascii="Calibri" w:eastAsia="Times New Roman" w:hAnsi="Calibri" w:cs="Calibri"/>
                <w:color w:val="000000"/>
                <w:lang w:eastAsia="hr-HR"/>
              </w:rPr>
              <w:t>Kamate za primljene kredite i zajmove od kreditnih i ostalih financijskih institucija izvan javnog sektora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FB314EF" w14:textId="77777777" w:rsidR="00304651" w:rsidRPr="00304651" w:rsidRDefault="00304651" w:rsidP="0030465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04651">
              <w:rPr>
                <w:rFonts w:ascii="Calibri" w:eastAsia="Times New Roman" w:hAnsi="Calibri" w:cs="Calibri"/>
                <w:color w:val="000000"/>
                <w:lang w:eastAsia="hr-HR"/>
              </w:rPr>
              <w:t>5.697,12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4370E6E" w14:textId="77777777" w:rsidR="00304651" w:rsidRPr="00304651" w:rsidRDefault="00304651" w:rsidP="0030465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0465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F318A98" w14:textId="77777777" w:rsidR="00304651" w:rsidRPr="00304651" w:rsidRDefault="00304651" w:rsidP="0030465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04651">
              <w:rPr>
                <w:rFonts w:ascii="Calibri" w:eastAsia="Times New Roman" w:hAnsi="Calibri" w:cs="Calibri"/>
                <w:color w:val="000000"/>
                <w:lang w:eastAsia="hr-HR"/>
              </w:rPr>
              <w:t>6.703,35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A9ED425" w14:textId="77777777" w:rsidR="00304651" w:rsidRPr="00304651" w:rsidRDefault="00304651" w:rsidP="0030465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04651">
              <w:rPr>
                <w:rFonts w:ascii="Calibri" w:eastAsia="Times New Roman" w:hAnsi="Calibri" w:cs="Calibri"/>
                <w:color w:val="000000"/>
                <w:lang w:eastAsia="hr-HR"/>
              </w:rPr>
              <w:t>117,66%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A3D4AB6" w14:textId="77777777" w:rsidR="00304651" w:rsidRPr="00304651" w:rsidRDefault="00304651" w:rsidP="0030465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0465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04651" w:rsidRPr="00304651" w14:paraId="22679ADE" w14:textId="77777777" w:rsidTr="00304651">
        <w:trPr>
          <w:trHeight w:val="227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B459B05" w14:textId="77777777" w:rsidR="00304651" w:rsidRPr="00304651" w:rsidRDefault="00304651" w:rsidP="0030465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04651">
              <w:rPr>
                <w:rFonts w:ascii="Calibri" w:eastAsia="Times New Roman" w:hAnsi="Calibri" w:cs="Calibri"/>
                <w:color w:val="000000"/>
                <w:lang w:eastAsia="hr-HR"/>
              </w:rPr>
              <w:t>343</w:t>
            </w: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0858B748" w14:textId="77777777" w:rsidR="00304651" w:rsidRPr="00304651" w:rsidRDefault="00304651" w:rsidP="0030465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04651">
              <w:rPr>
                <w:rFonts w:ascii="Calibri" w:eastAsia="Times New Roman" w:hAnsi="Calibri" w:cs="Calibri"/>
                <w:color w:val="000000"/>
                <w:lang w:eastAsia="hr-HR"/>
              </w:rPr>
              <w:t>Ostali financijski rashodi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E7BFBEE" w14:textId="77777777" w:rsidR="00304651" w:rsidRPr="00304651" w:rsidRDefault="00304651" w:rsidP="0030465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04651">
              <w:rPr>
                <w:rFonts w:ascii="Calibri" w:eastAsia="Times New Roman" w:hAnsi="Calibri" w:cs="Calibri"/>
                <w:color w:val="000000"/>
                <w:lang w:eastAsia="hr-HR"/>
              </w:rPr>
              <w:t>904,27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57CAAD6" w14:textId="77777777" w:rsidR="00304651" w:rsidRPr="00304651" w:rsidRDefault="00304651" w:rsidP="0030465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0465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AB29143" w14:textId="77777777" w:rsidR="00304651" w:rsidRPr="00304651" w:rsidRDefault="00304651" w:rsidP="0030465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04651">
              <w:rPr>
                <w:rFonts w:ascii="Calibri" w:eastAsia="Times New Roman" w:hAnsi="Calibri" w:cs="Calibri"/>
                <w:color w:val="000000"/>
                <w:lang w:eastAsia="hr-HR"/>
              </w:rPr>
              <w:t>1.399,94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F7B6FAF" w14:textId="77777777" w:rsidR="00304651" w:rsidRPr="00304651" w:rsidRDefault="00304651" w:rsidP="0030465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04651">
              <w:rPr>
                <w:rFonts w:ascii="Calibri" w:eastAsia="Times New Roman" w:hAnsi="Calibri" w:cs="Calibri"/>
                <w:color w:val="000000"/>
                <w:lang w:eastAsia="hr-HR"/>
              </w:rPr>
              <w:t>154,81%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D787D31" w14:textId="77777777" w:rsidR="00304651" w:rsidRPr="00304651" w:rsidRDefault="00304651" w:rsidP="0030465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0465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04651" w:rsidRPr="00304651" w14:paraId="657FE32B" w14:textId="77777777" w:rsidTr="00304651">
        <w:trPr>
          <w:trHeight w:val="227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BACF6DC" w14:textId="77777777" w:rsidR="00304651" w:rsidRPr="00304651" w:rsidRDefault="00304651" w:rsidP="0030465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04651">
              <w:rPr>
                <w:rFonts w:ascii="Calibri" w:eastAsia="Times New Roman" w:hAnsi="Calibri" w:cs="Calibri"/>
                <w:color w:val="000000"/>
                <w:lang w:eastAsia="hr-HR"/>
              </w:rPr>
              <w:t>3431</w:t>
            </w: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35874950" w14:textId="77777777" w:rsidR="00304651" w:rsidRPr="00304651" w:rsidRDefault="00304651" w:rsidP="0030465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04651">
              <w:rPr>
                <w:rFonts w:ascii="Calibri" w:eastAsia="Times New Roman" w:hAnsi="Calibri" w:cs="Calibri"/>
                <w:color w:val="000000"/>
                <w:lang w:eastAsia="hr-HR"/>
              </w:rPr>
              <w:t>Bankarske usluge i usluge platnog prometa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214516A" w14:textId="77777777" w:rsidR="00304651" w:rsidRPr="00304651" w:rsidRDefault="00304651" w:rsidP="0030465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04651">
              <w:rPr>
                <w:rFonts w:ascii="Calibri" w:eastAsia="Times New Roman" w:hAnsi="Calibri" w:cs="Calibri"/>
                <w:color w:val="000000"/>
                <w:lang w:eastAsia="hr-HR"/>
              </w:rPr>
              <w:t>518,40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08410B3" w14:textId="77777777" w:rsidR="00304651" w:rsidRPr="00304651" w:rsidRDefault="00304651" w:rsidP="0030465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0465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581578D" w14:textId="77777777" w:rsidR="00304651" w:rsidRPr="00304651" w:rsidRDefault="00304651" w:rsidP="0030465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04651">
              <w:rPr>
                <w:rFonts w:ascii="Calibri" w:eastAsia="Times New Roman" w:hAnsi="Calibri" w:cs="Calibri"/>
                <w:color w:val="000000"/>
                <w:lang w:eastAsia="hr-HR"/>
              </w:rPr>
              <w:t>460,79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E08A2BA" w14:textId="77777777" w:rsidR="00304651" w:rsidRPr="00304651" w:rsidRDefault="00304651" w:rsidP="0030465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04651">
              <w:rPr>
                <w:rFonts w:ascii="Calibri" w:eastAsia="Times New Roman" w:hAnsi="Calibri" w:cs="Calibri"/>
                <w:color w:val="000000"/>
                <w:lang w:eastAsia="hr-HR"/>
              </w:rPr>
              <w:t>88,89%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C578B18" w14:textId="77777777" w:rsidR="00304651" w:rsidRPr="00304651" w:rsidRDefault="00304651" w:rsidP="0030465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0465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04651" w:rsidRPr="00304651" w14:paraId="05C34116" w14:textId="77777777" w:rsidTr="00304651">
        <w:trPr>
          <w:trHeight w:val="227"/>
        </w:trPr>
        <w:tc>
          <w:tcPr>
            <w:tcW w:w="26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63AE573" w14:textId="77777777" w:rsidR="00304651" w:rsidRPr="00304651" w:rsidRDefault="00304651" w:rsidP="0030465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04651">
              <w:rPr>
                <w:rFonts w:ascii="Calibri" w:eastAsia="Times New Roman" w:hAnsi="Calibri" w:cs="Calibri"/>
                <w:color w:val="000000"/>
                <w:lang w:eastAsia="hr-HR"/>
              </w:rPr>
              <w:t>3434</w:t>
            </w:r>
          </w:p>
        </w:tc>
        <w:tc>
          <w:tcPr>
            <w:tcW w:w="230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4C815E25" w14:textId="77777777" w:rsidR="00304651" w:rsidRPr="00304651" w:rsidRDefault="00304651" w:rsidP="00304651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04651">
              <w:rPr>
                <w:rFonts w:ascii="Calibri" w:eastAsia="Times New Roman" w:hAnsi="Calibri" w:cs="Calibri"/>
                <w:color w:val="000000"/>
                <w:lang w:eastAsia="hr-HR"/>
              </w:rPr>
              <w:t>Ostali nespomenuti financijski rashodi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A05848A" w14:textId="77777777" w:rsidR="00304651" w:rsidRPr="00304651" w:rsidRDefault="00304651" w:rsidP="0030465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04651">
              <w:rPr>
                <w:rFonts w:ascii="Calibri" w:eastAsia="Times New Roman" w:hAnsi="Calibri" w:cs="Calibri"/>
                <w:color w:val="000000"/>
                <w:lang w:eastAsia="hr-HR"/>
              </w:rPr>
              <w:t>385,87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0BA6677" w14:textId="77777777" w:rsidR="00304651" w:rsidRPr="00304651" w:rsidRDefault="00304651" w:rsidP="0030465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0465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9F9D63E" w14:textId="77777777" w:rsidR="00304651" w:rsidRPr="00304651" w:rsidRDefault="00304651" w:rsidP="0030465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04651">
              <w:rPr>
                <w:rFonts w:ascii="Calibri" w:eastAsia="Times New Roman" w:hAnsi="Calibri" w:cs="Calibri"/>
                <w:color w:val="000000"/>
                <w:lang w:eastAsia="hr-HR"/>
              </w:rPr>
              <w:t>939,15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09D01C2" w14:textId="77777777" w:rsidR="00304651" w:rsidRPr="00304651" w:rsidRDefault="00304651" w:rsidP="0030465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04651">
              <w:rPr>
                <w:rFonts w:ascii="Calibri" w:eastAsia="Times New Roman" w:hAnsi="Calibri" w:cs="Calibri"/>
                <w:color w:val="000000"/>
                <w:lang w:eastAsia="hr-HR"/>
              </w:rPr>
              <w:t>243,39%</w:t>
            </w:r>
          </w:p>
        </w:tc>
        <w:tc>
          <w:tcPr>
            <w:tcW w:w="45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2594546" w14:textId="77777777" w:rsidR="00304651" w:rsidRPr="00304651" w:rsidRDefault="00304651" w:rsidP="00304651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04651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</w:tbl>
    <w:p w14:paraId="11CA18FB" w14:textId="05F6E3C3" w:rsidR="001924E7" w:rsidRDefault="00A2762C" w:rsidP="00F40BBA">
      <w:pPr>
        <w:spacing w:before="120" w:after="120" w:line="240" w:lineRule="auto"/>
        <w:jc w:val="both"/>
        <w:rPr>
          <w:rFonts w:cstheme="minorHAnsi"/>
          <w:sz w:val="22"/>
          <w:szCs w:val="22"/>
        </w:rPr>
      </w:pPr>
      <w:r w:rsidRPr="00000576">
        <w:rPr>
          <w:rFonts w:cstheme="minorHAnsi"/>
          <w:sz w:val="22"/>
          <w:szCs w:val="22"/>
        </w:rPr>
        <w:t>Navedeni rashodi obuhvaćaju kamate za primljene kredite</w:t>
      </w:r>
      <w:r w:rsidR="003C6F29" w:rsidRPr="00000576">
        <w:rPr>
          <w:rFonts w:cstheme="minorHAnsi"/>
          <w:sz w:val="22"/>
          <w:szCs w:val="22"/>
        </w:rPr>
        <w:t xml:space="preserve"> i zajmove</w:t>
      </w:r>
      <w:r w:rsidRPr="00000576">
        <w:rPr>
          <w:rFonts w:cstheme="minorHAnsi"/>
          <w:sz w:val="22"/>
          <w:szCs w:val="22"/>
        </w:rPr>
        <w:t xml:space="preserve">, naknade za usluge platnog prometa i ostale bankarske usluge. </w:t>
      </w:r>
    </w:p>
    <w:p w14:paraId="162C8BCB" w14:textId="77777777" w:rsidR="00304651" w:rsidRPr="00000576" w:rsidRDefault="00304651" w:rsidP="00F40BBA">
      <w:pPr>
        <w:spacing w:before="120" w:after="120" w:line="240" w:lineRule="auto"/>
        <w:jc w:val="both"/>
        <w:rPr>
          <w:rFonts w:cstheme="minorHAnsi"/>
          <w:sz w:val="22"/>
          <w:szCs w:val="22"/>
        </w:rPr>
      </w:pPr>
    </w:p>
    <w:p w14:paraId="6CECC047" w14:textId="78D69E52" w:rsidR="00624965" w:rsidRPr="00F40BBA" w:rsidRDefault="00F40BBA" w:rsidP="00165728">
      <w:pPr>
        <w:pStyle w:val="Naslov3"/>
        <w:numPr>
          <w:ilvl w:val="2"/>
          <w:numId w:val="4"/>
        </w:numPr>
        <w:spacing w:before="0" w:after="120"/>
        <w:ind w:left="504"/>
        <w:rPr>
          <w:b/>
          <w:sz w:val="22"/>
        </w:rPr>
      </w:pPr>
      <w:bookmarkStart w:id="24" w:name="_Toc209436504"/>
      <w:r w:rsidRPr="00F40BBA">
        <w:rPr>
          <w:b/>
          <w:caps w:val="0"/>
          <w:sz w:val="22"/>
        </w:rPr>
        <w:t>Subvencije</w:t>
      </w:r>
      <w:bookmarkEnd w:id="24"/>
    </w:p>
    <w:p w14:paraId="03450EE8" w14:textId="52DCD8DA" w:rsidR="00624965" w:rsidRDefault="005032CB" w:rsidP="00F40BBA">
      <w:pPr>
        <w:spacing w:before="0" w:after="120" w:line="240" w:lineRule="auto"/>
        <w:jc w:val="both"/>
        <w:rPr>
          <w:rFonts w:cstheme="minorHAnsi"/>
          <w:bCs/>
          <w:sz w:val="22"/>
          <w:szCs w:val="22"/>
        </w:rPr>
      </w:pPr>
      <w:r>
        <w:rPr>
          <w:rFonts w:cstheme="minorHAnsi"/>
          <w:bCs/>
          <w:sz w:val="22"/>
          <w:szCs w:val="22"/>
        </w:rPr>
        <w:t>Planirane s</w:t>
      </w:r>
      <w:r w:rsidR="0048366B" w:rsidRPr="0048366B">
        <w:rPr>
          <w:rFonts w:cstheme="minorHAnsi"/>
          <w:bCs/>
          <w:sz w:val="22"/>
          <w:szCs w:val="22"/>
        </w:rPr>
        <w:t xml:space="preserve">ubvencije </w:t>
      </w:r>
      <w:r>
        <w:rPr>
          <w:rFonts w:cstheme="minorHAnsi"/>
          <w:bCs/>
          <w:sz w:val="22"/>
          <w:szCs w:val="22"/>
        </w:rPr>
        <w:t>poljoprivrednicima i obrtnicima nisu realizirane u promatranom razdoblju.</w:t>
      </w:r>
      <w:r w:rsidR="0048366B" w:rsidRPr="0048366B">
        <w:rPr>
          <w:rFonts w:cstheme="minorHAnsi"/>
          <w:bCs/>
          <w:sz w:val="22"/>
          <w:szCs w:val="22"/>
        </w:rPr>
        <w:t xml:space="preserve"> 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0"/>
        <w:gridCol w:w="4854"/>
        <w:gridCol w:w="993"/>
        <w:gridCol w:w="1133"/>
        <w:gridCol w:w="993"/>
        <w:gridCol w:w="991"/>
        <w:gridCol w:w="962"/>
      </w:tblGrid>
      <w:tr w:rsidR="005032CB" w:rsidRPr="005032CB" w14:paraId="5E9714DE" w14:textId="77777777" w:rsidTr="005032CB">
        <w:trPr>
          <w:trHeight w:val="227"/>
        </w:trPr>
        <w:tc>
          <w:tcPr>
            <w:tcW w:w="2574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3F153CD" w14:textId="77777777" w:rsidR="005032CB" w:rsidRPr="005032CB" w:rsidRDefault="005032CB" w:rsidP="005032C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032CB">
              <w:rPr>
                <w:rFonts w:ascii="Calibri" w:eastAsia="Times New Roman" w:hAnsi="Calibri" w:cs="Calibri"/>
                <w:color w:val="000000"/>
                <w:lang w:eastAsia="hr-HR"/>
              </w:rPr>
              <w:t>Brojčana oznaka i naziv računa</w:t>
            </w:r>
          </w:p>
        </w:tc>
        <w:tc>
          <w:tcPr>
            <w:tcW w:w="4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6B6E7FF8" w14:textId="77777777" w:rsidR="005032CB" w:rsidRDefault="005032CB" w:rsidP="005032C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032CB">
              <w:rPr>
                <w:rFonts w:ascii="Calibri" w:eastAsia="Times New Roman" w:hAnsi="Calibri" w:cs="Calibri"/>
                <w:color w:val="000000"/>
                <w:lang w:eastAsia="hr-HR"/>
              </w:rPr>
              <w:t>Izvršenje</w:t>
            </w:r>
          </w:p>
          <w:p w14:paraId="3C28CBE5" w14:textId="3730EFDB" w:rsidR="005032CB" w:rsidRPr="005032CB" w:rsidRDefault="005032CB" w:rsidP="005032C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032CB">
              <w:rPr>
                <w:rFonts w:ascii="Calibri" w:eastAsia="Times New Roman" w:hAnsi="Calibri" w:cs="Calibri"/>
                <w:color w:val="000000"/>
                <w:lang w:eastAsia="hr-HR"/>
              </w:rPr>
              <w:t>I-VI 2024.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0422E3AA" w14:textId="77777777" w:rsidR="005032CB" w:rsidRPr="005032CB" w:rsidRDefault="005032CB" w:rsidP="005032C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032CB">
              <w:rPr>
                <w:rFonts w:ascii="Calibri" w:eastAsia="Times New Roman" w:hAnsi="Calibri" w:cs="Calibri"/>
                <w:color w:val="000000"/>
                <w:lang w:eastAsia="hr-HR"/>
              </w:rPr>
              <w:t>Proračun 2025</w:t>
            </w:r>
          </w:p>
        </w:tc>
        <w:tc>
          <w:tcPr>
            <w:tcW w:w="4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1AC7C8BE" w14:textId="77777777" w:rsidR="005032CB" w:rsidRDefault="005032CB" w:rsidP="005032C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032C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Izvršenje </w:t>
            </w:r>
          </w:p>
          <w:p w14:paraId="4984B192" w14:textId="09303E04" w:rsidR="005032CB" w:rsidRPr="005032CB" w:rsidRDefault="005032CB" w:rsidP="005032C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032CB">
              <w:rPr>
                <w:rFonts w:ascii="Calibri" w:eastAsia="Times New Roman" w:hAnsi="Calibri" w:cs="Calibri"/>
                <w:color w:val="000000"/>
                <w:lang w:eastAsia="hr-HR"/>
              </w:rPr>
              <w:t>I-VI 2025.</w:t>
            </w:r>
          </w:p>
        </w:tc>
        <w:tc>
          <w:tcPr>
            <w:tcW w:w="47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029D0C74" w14:textId="77777777" w:rsidR="005032CB" w:rsidRPr="005032CB" w:rsidRDefault="005032CB" w:rsidP="005032C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032CB">
              <w:rPr>
                <w:rFonts w:ascii="Calibri" w:eastAsia="Times New Roman" w:hAnsi="Calibri" w:cs="Calibri"/>
                <w:color w:val="000000"/>
                <w:lang w:eastAsia="hr-HR"/>
              </w:rPr>
              <w:t>Indeks (4/2*100)</w:t>
            </w:r>
          </w:p>
        </w:tc>
        <w:tc>
          <w:tcPr>
            <w:tcW w:w="46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5DF36C85" w14:textId="77777777" w:rsidR="005032CB" w:rsidRPr="005032CB" w:rsidRDefault="005032CB" w:rsidP="005032C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032CB">
              <w:rPr>
                <w:rFonts w:ascii="Calibri" w:eastAsia="Times New Roman" w:hAnsi="Calibri" w:cs="Calibri"/>
                <w:color w:val="000000"/>
                <w:lang w:eastAsia="hr-HR"/>
              </w:rPr>
              <w:t>Indeks (4/3*100)</w:t>
            </w:r>
          </w:p>
        </w:tc>
      </w:tr>
      <w:tr w:rsidR="005032CB" w:rsidRPr="005032CB" w14:paraId="2F25EDF5" w14:textId="77777777" w:rsidTr="005032CB">
        <w:trPr>
          <w:trHeight w:val="227"/>
        </w:trPr>
        <w:tc>
          <w:tcPr>
            <w:tcW w:w="2574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7E6E6"/>
            <w:noWrap/>
            <w:vAlign w:val="center"/>
            <w:hideMark/>
          </w:tcPr>
          <w:p w14:paraId="65085E5D" w14:textId="77777777" w:rsidR="005032CB" w:rsidRPr="005032CB" w:rsidRDefault="005032CB" w:rsidP="005032C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032CB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vAlign w:val="center"/>
            <w:hideMark/>
          </w:tcPr>
          <w:p w14:paraId="0D190E33" w14:textId="77777777" w:rsidR="005032CB" w:rsidRPr="005032CB" w:rsidRDefault="005032CB" w:rsidP="005032C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032CB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vAlign w:val="center"/>
            <w:hideMark/>
          </w:tcPr>
          <w:p w14:paraId="15426A09" w14:textId="77777777" w:rsidR="005032CB" w:rsidRPr="005032CB" w:rsidRDefault="005032CB" w:rsidP="005032C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032CB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vAlign w:val="center"/>
            <w:hideMark/>
          </w:tcPr>
          <w:p w14:paraId="2FEA94E4" w14:textId="77777777" w:rsidR="005032CB" w:rsidRPr="005032CB" w:rsidRDefault="005032CB" w:rsidP="005032C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032CB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vAlign w:val="center"/>
            <w:hideMark/>
          </w:tcPr>
          <w:p w14:paraId="555EBC74" w14:textId="77777777" w:rsidR="005032CB" w:rsidRPr="005032CB" w:rsidRDefault="005032CB" w:rsidP="005032C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032CB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2E708EE0" w14:textId="77777777" w:rsidR="005032CB" w:rsidRPr="005032CB" w:rsidRDefault="005032CB" w:rsidP="005032C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032CB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</w:tr>
      <w:tr w:rsidR="005032CB" w:rsidRPr="005032CB" w14:paraId="45D43DF9" w14:textId="77777777" w:rsidTr="005032CB">
        <w:trPr>
          <w:trHeight w:val="227"/>
        </w:trPr>
        <w:tc>
          <w:tcPr>
            <w:tcW w:w="2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D26ADE3" w14:textId="77777777" w:rsidR="005032CB" w:rsidRPr="005032CB" w:rsidRDefault="005032CB" w:rsidP="005032C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032C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35</w:t>
            </w:r>
          </w:p>
        </w:tc>
        <w:tc>
          <w:tcPr>
            <w:tcW w:w="232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FE9CE29" w14:textId="77777777" w:rsidR="005032CB" w:rsidRPr="005032CB" w:rsidRDefault="005032CB" w:rsidP="005032C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032C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Subvencije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796B590" w14:textId="77777777" w:rsidR="005032CB" w:rsidRPr="005032CB" w:rsidRDefault="005032CB" w:rsidP="005032C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032C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1.208,70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BC037C5" w14:textId="77777777" w:rsidR="005032CB" w:rsidRPr="005032CB" w:rsidRDefault="005032CB" w:rsidP="005032C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032C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4.000,00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8284DF9" w14:textId="77777777" w:rsidR="005032CB" w:rsidRPr="005032CB" w:rsidRDefault="005032CB" w:rsidP="005032C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032C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D43EEED" w14:textId="77777777" w:rsidR="005032CB" w:rsidRPr="005032CB" w:rsidRDefault="005032CB" w:rsidP="005032C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032C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0,00%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231A6AF" w14:textId="77777777" w:rsidR="005032CB" w:rsidRPr="005032CB" w:rsidRDefault="005032CB" w:rsidP="005032C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032C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0,00%</w:t>
            </w:r>
          </w:p>
        </w:tc>
      </w:tr>
      <w:tr w:rsidR="005032CB" w:rsidRPr="005032CB" w14:paraId="23EC6B69" w14:textId="77777777" w:rsidTr="005032CB">
        <w:trPr>
          <w:trHeight w:val="227"/>
        </w:trPr>
        <w:tc>
          <w:tcPr>
            <w:tcW w:w="2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A5A4E5A" w14:textId="77777777" w:rsidR="005032CB" w:rsidRPr="005032CB" w:rsidRDefault="005032CB" w:rsidP="005032C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032CB">
              <w:rPr>
                <w:rFonts w:ascii="Calibri" w:eastAsia="Times New Roman" w:hAnsi="Calibri" w:cs="Calibri"/>
                <w:color w:val="000000"/>
                <w:lang w:eastAsia="hr-HR"/>
              </w:rPr>
              <w:lastRenderedPageBreak/>
              <w:t>352</w:t>
            </w:r>
          </w:p>
        </w:tc>
        <w:tc>
          <w:tcPr>
            <w:tcW w:w="232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757CBBD1" w14:textId="5F8BB36C" w:rsidR="005032CB" w:rsidRPr="005032CB" w:rsidRDefault="005032CB" w:rsidP="005032C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032C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Subvencije kreditnim i </w:t>
            </w:r>
            <w:proofErr w:type="spellStart"/>
            <w:r w:rsidRPr="005032CB">
              <w:rPr>
                <w:rFonts w:ascii="Calibri" w:eastAsia="Times New Roman" w:hAnsi="Calibri" w:cs="Calibri"/>
                <w:color w:val="000000"/>
                <w:lang w:eastAsia="hr-HR"/>
              </w:rPr>
              <w:t>finan</w:t>
            </w:r>
            <w:proofErr w:type="spellEnd"/>
            <w:r w:rsidR="00DE6F4E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 w:rsidRPr="005032C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institucijama, trg</w:t>
            </w:r>
            <w:r w:rsidR="00DE6F4E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 w:rsidRPr="005032C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društvima, zadrugama, </w:t>
            </w:r>
            <w:proofErr w:type="spellStart"/>
            <w:r w:rsidRPr="005032CB">
              <w:rPr>
                <w:rFonts w:ascii="Calibri" w:eastAsia="Times New Roman" w:hAnsi="Calibri" w:cs="Calibri"/>
                <w:color w:val="000000"/>
                <w:lang w:eastAsia="hr-HR"/>
              </w:rPr>
              <w:t>poljopr</w:t>
            </w:r>
            <w:proofErr w:type="spellEnd"/>
            <w:r w:rsidR="00DE6F4E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 w:rsidRPr="005032C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i obrtnicima izvan javnog sektora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D3E3B22" w14:textId="77777777" w:rsidR="005032CB" w:rsidRPr="005032CB" w:rsidRDefault="005032CB" w:rsidP="005032C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032CB">
              <w:rPr>
                <w:rFonts w:ascii="Calibri" w:eastAsia="Times New Roman" w:hAnsi="Calibri" w:cs="Calibri"/>
                <w:color w:val="000000"/>
                <w:lang w:eastAsia="hr-HR"/>
              </w:rPr>
              <w:t>1.208,70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76F6B14" w14:textId="77777777" w:rsidR="005032CB" w:rsidRPr="005032CB" w:rsidRDefault="005032CB" w:rsidP="005032C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032C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86BD567" w14:textId="77777777" w:rsidR="005032CB" w:rsidRPr="005032CB" w:rsidRDefault="005032CB" w:rsidP="005032C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032CB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BE6A2EB" w14:textId="77777777" w:rsidR="005032CB" w:rsidRPr="005032CB" w:rsidRDefault="005032CB" w:rsidP="005032C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032CB">
              <w:rPr>
                <w:rFonts w:ascii="Calibri" w:eastAsia="Times New Roman" w:hAnsi="Calibri" w:cs="Calibri"/>
                <w:color w:val="000000"/>
                <w:lang w:eastAsia="hr-HR"/>
              </w:rPr>
              <w:t>0,00%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A04C452" w14:textId="77777777" w:rsidR="005032CB" w:rsidRPr="005032CB" w:rsidRDefault="005032CB" w:rsidP="005032C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032C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032CB" w:rsidRPr="005032CB" w14:paraId="5073603A" w14:textId="77777777" w:rsidTr="005032CB">
        <w:trPr>
          <w:trHeight w:val="227"/>
        </w:trPr>
        <w:tc>
          <w:tcPr>
            <w:tcW w:w="25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FE16B18" w14:textId="77777777" w:rsidR="005032CB" w:rsidRPr="005032CB" w:rsidRDefault="005032CB" w:rsidP="005032C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032CB">
              <w:rPr>
                <w:rFonts w:ascii="Calibri" w:eastAsia="Times New Roman" w:hAnsi="Calibri" w:cs="Calibri"/>
                <w:color w:val="000000"/>
                <w:lang w:eastAsia="hr-HR"/>
              </w:rPr>
              <w:t>3523</w:t>
            </w:r>
          </w:p>
        </w:tc>
        <w:tc>
          <w:tcPr>
            <w:tcW w:w="232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45D64A4A" w14:textId="77777777" w:rsidR="005032CB" w:rsidRPr="005032CB" w:rsidRDefault="005032CB" w:rsidP="005032C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032CB">
              <w:rPr>
                <w:rFonts w:ascii="Calibri" w:eastAsia="Times New Roman" w:hAnsi="Calibri" w:cs="Calibri"/>
                <w:color w:val="000000"/>
                <w:lang w:eastAsia="hr-HR"/>
              </w:rPr>
              <w:t>Subvencije poljoprivrednicima i obrtnicima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8ECD92A" w14:textId="77777777" w:rsidR="005032CB" w:rsidRPr="005032CB" w:rsidRDefault="005032CB" w:rsidP="005032C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032CB">
              <w:rPr>
                <w:rFonts w:ascii="Calibri" w:eastAsia="Times New Roman" w:hAnsi="Calibri" w:cs="Calibri"/>
                <w:color w:val="000000"/>
                <w:lang w:eastAsia="hr-HR"/>
              </w:rPr>
              <w:t>1.208,70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15409C2" w14:textId="77777777" w:rsidR="005032CB" w:rsidRPr="005032CB" w:rsidRDefault="005032CB" w:rsidP="005032C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032C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00727B9" w14:textId="77777777" w:rsidR="005032CB" w:rsidRPr="005032CB" w:rsidRDefault="005032CB" w:rsidP="005032C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032CB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D8BD2A7" w14:textId="77777777" w:rsidR="005032CB" w:rsidRPr="005032CB" w:rsidRDefault="005032CB" w:rsidP="005032C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032CB">
              <w:rPr>
                <w:rFonts w:ascii="Calibri" w:eastAsia="Times New Roman" w:hAnsi="Calibri" w:cs="Calibri"/>
                <w:color w:val="000000"/>
                <w:lang w:eastAsia="hr-HR"/>
              </w:rPr>
              <w:t>0,00%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81D2078" w14:textId="77777777" w:rsidR="005032CB" w:rsidRPr="005032CB" w:rsidRDefault="005032CB" w:rsidP="005032C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032C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</w:tbl>
    <w:p w14:paraId="635F44A9" w14:textId="77777777" w:rsidR="00F40BBA" w:rsidRPr="00000576" w:rsidRDefault="00F40BBA" w:rsidP="00331E1E">
      <w:pPr>
        <w:spacing w:before="120" w:after="120" w:line="240" w:lineRule="auto"/>
        <w:jc w:val="both"/>
        <w:rPr>
          <w:rFonts w:cstheme="minorHAnsi"/>
          <w:sz w:val="22"/>
          <w:szCs w:val="22"/>
        </w:rPr>
      </w:pPr>
    </w:p>
    <w:p w14:paraId="4A5C810C" w14:textId="412EF2FD" w:rsidR="00624965" w:rsidRPr="00F40BBA" w:rsidRDefault="00F40BBA" w:rsidP="00165728">
      <w:pPr>
        <w:pStyle w:val="Naslov3"/>
        <w:numPr>
          <w:ilvl w:val="2"/>
          <w:numId w:val="4"/>
        </w:numPr>
        <w:spacing w:before="0" w:after="120"/>
        <w:ind w:left="504"/>
        <w:rPr>
          <w:b/>
          <w:sz w:val="22"/>
        </w:rPr>
      </w:pPr>
      <w:bookmarkStart w:id="25" w:name="_Toc209436505"/>
      <w:r w:rsidRPr="00F40BBA">
        <w:rPr>
          <w:b/>
          <w:caps w:val="0"/>
          <w:sz w:val="22"/>
        </w:rPr>
        <w:t>Pomoći dane u inozemstvo i unutar općeg proračuna</w:t>
      </w:r>
      <w:bookmarkEnd w:id="25"/>
      <w:r w:rsidRPr="00F40BBA">
        <w:rPr>
          <w:b/>
          <w:caps w:val="0"/>
          <w:sz w:val="22"/>
        </w:rPr>
        <w:t xml:space="preserve"> </w:t>
      </w:r>
    </w:p>
    <w:p w14:paraId="0BCEABD6" w14:textId="089FBE20" w:rsidR="00624965" w:rsidRDefault="00624965" w:rsidP="00000576">
      <w:pPr>
        <w:spacing w:before="0" w:after="120" w:line="240" w:lineRule="auto"/>
        <w:jc w:val="both"/>
        <w:rPr>
          <w:rFonts w:cstheme="minorHAnsi"/>
          <w:bCs/>
          <w:sz w:val="22"/>
          <w:szCs w:val="22"/>
        </w:rPr>
      </w:pPr>
      <w:r w:rsidRPr="00395275">
        <w:rPr>
          <w:rFonts w:cstheme="minorHAnsi"/>
          <w:bCs/>
          <w:sz w:val="22"/>
          <w:szCs w:val="22"/>
        </w:rPr>
        <w:t xml:space="preserve">Pomoći dane u inozemstvo i unutar općeg proračuna ostvarene su u iznosu od </w:t>
      </w:r>
      <w:r w:rsidR="005032CB" w:rsidRPr="005032CB">
        <w:rPr>
          <w:rFonts w:cstheme="minorHAnsi"/>
          <w:bCs/>
          <w:sz w:val="22"/>
          <w:szCs w:val="22"/>
        </w:rPr>
        <w:t>26.216,44</w:t>
      </w:r>
      <w:r w:rsidR="0048366B">
        <w:rPr>
          <w:rFonts w:cstheme="minorHAnsi"/>
          <w:bCs/>
          <w:sz w:val="22"/>
          <w:szCs w:val="22"/>
        </w:rPr>
        <w:t xml:space="preserve"> eura</w:t>
      </w:r>
      <w:r w:rsidRPr="00395275">
        <w:rPr>
          <w:rFonts w:cstheme="minorHAnsi"/>
          <w:bCs/>
          <w:sz w:val="22"/>
          <w:szCs w:val="22"/>
        </w:rPr>
        <w:t xml:space="preserve">, </w:t>
      </w:r>
      <w:r w:rsidR="00BA132B">
        <w:rPr>
          <w:rFonts w:cstheme="minorHAnsi"/>
          <w:bCs/>
          <w:sz w:val="22"/>
          <w:szCs w:val="22"/>
        </w:rPr>
        <w:t xml:space="preserve">što je </w:t>
      </w:r>
      <w:r w:rsidR="005032CB">
        <w:rPr>
          <w:rFonts w:cstheme="minorHAnsi"/>
          <w:bCs/>
          <w:sz w:val="22"/>
          <w:szCs w:val="22"/>
        </w:rPr>
        <w:t>višestruko povećanje u odnosu na isto razdoblje</w:t>
      </w:r>
      <w:r w:rsidR="00BA132B">
        <w:rPr>
          <w:rFonts w:cstheme="minorHAnsi"/>
          <w:bCs/>
          <w:sz w:val="22"/>
          <w:szCs w:val="22"/>
        </w:rPr>
        <w:t xml:space="preserve"> prethodne godine</w:t>
      </w:r>
      <w:r w:rsidRPr="00395275">
        <w:rPr>
          <w:rFonts w:cstheme="minorHAnsi"/>
          <w:bCs/>
          <w:sz w:val="22"/>
          <w:szCs w:val="22"/>
        </w:rPr>
        <w:t>.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2"/>
        <w:gridCol w:w="4814"/>
        <w:gridCol w:w="993"/>
        <w:gridCol w:w="1133"/>
        <w:gridCol w:w="993"/>
        <w:gridCol w:w="991"/>
        <w:gridCol w:w="960"/>
      </w:tblGrid>
      <w:tr w:rsidR="005032CB" w:rsidRPr="005032CB" w14:paraId="2F232F31" w14:textId="77777777" w:rsidTr="00090FB6">
        <w:trPr>
          <w:trHeight w:val="227"/>
        </w:trPr>
        <w:tc>
          <w:tcPr>
            <w:tcW w:w="2575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A06259B" w14:textId="77777777" w:rsidR="005032CB" w:rsidRPr="005032CB" w:rsidRDefault="005032CB" w:rsidP="005032C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032CB">
              <w:rPr>
                <w:rFonts w:ascii="Calibri" w:eastAsia="Times New Roman" w:hAnsi="Calibri" w:cs="Calibri"/>
                <w:color w:val="000000"/>
                <w:lang w:eastAsia="hr-HR"/>
              </w:rPr>
              <w:t>Brojčana oznaka i naziv računa</w:t>
            </w:r>
          </w:p>
        </w:tc>
        <w:tc>
          <w:tcPr>
            <w:tcW w:w="4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1AB7867A" w14:textId="77777777" w:rsidR="005032CB" w:rsidRDefault="005032CB" w:rsidP="005032C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032CB">
              <w:rPr>
                <w:rFonts w:ascii="Calibri" w:eastAsia="Times New Roman" w:hAnsi="Calibri" w:cs="Calibri"/>
                <w:color w:val="000000"/>
                <w:lang w:eastAsia="hr-HR"/>
              </w:rPr>
              <w:t>Izvršenje</w:t>
            </w:r>
          </w:p>
          <w:p w14:paraId="68DD945B" w14:textId="07A687E1" w:rsidR="005032CB" w:rsidRPr="005032CB" w:rsidRDefault="005032CB" w:rsidP="005032C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032CB">
              <w:rPr>
                <w:rFonts w:ascii="Calibri" w:eastAsia="Times New Roman" w:hAnsi="Calibri" w:cs="Calibri"/>
                <w:color w:val="000000"/>
                <w:lang w:eastAsia="hr-HR"/>
              </w:rPr>
              <w:t>I-VI 2024.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17915A3A" w14:textId="77777777" w:rsidR="005032CB" w:rsidRPr="005032CB" w:rsidRDefault="005032CB" w:rsidP="005032C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032CB">
              <w:rPr>
                <w:rFonts w:ascii="Calibri" w:eastAsia="Times New Roman" w:hAnsi="Calibri" w:cs="Calibri"/>
                <w:color w:val="000000"/>
                <w:lang w:eastAsia="hr-HR"/>
              </w:rPr>
              <w:t>Proračun 2025</w:t>
            </w:r>
          </w:p>
        </w:tc>
        <w:tc>
          <w:tcPr>
            <w:tcW w:w="4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01DFBB56" w14:textId="77777777" w:rsidR="005032CB" w:rsidRDefault="005032CB" w:rsidP="005032C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032CB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Izvršenje </w:t>
            </w:r>
          </w:p>
          <w:p w14:paraId="3E3F1D84" w14:textId="0DAEB198" w:rsidR="005032CB" w:rsidRPr="005032CB" w:rsidRDefault="005032CB" w:rsidP="005032C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032CB">
              <w:rPr>
                <w:rFonts w:ascii="Calibri" w:eastAsia="Times New Roman" w:hAnsi="Calibri" w:cs="Calibri"/>
                <w:color w:val="000000"/>
                <w:lang w:eastAsia="hr-HR"/>
              </w:rPr>
              <w:t>I-VI 2025.</w:t>
            </w:r>
          </w:p>
        </w:tc>
        <w:tc>
          <w:tcPr>
            <w:tcW w:w="47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165C1E82" w14:textId="77777777" w:rsidR="005032CB" w:rsidRPr="005032CB" w:rsidRDefault="005032CB" w:rsidP="005032C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032CB">
              <w:rPr>
                <w:rFonts w:ascii="Calibri" w:eastAsia="Times New Roman" w:hAnsi="Calibri" w:cs="Calibri"/>
                <w:color w:val="000000"/>
                <w:lang w:eastAsia="hr-HR"/>
              </w:rPr>
              <w:t>Indeks (4/2*100)</w:t>
            </w:r>
          </w:p>
        </w:tc>
        <w:tc>
          <w:tcPr>
            <w:tcW w:w="460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670B14A0" w14:textId="77777777" w:rsidR="005032CB" w:rsidRPr="005032CB" w:rsidRDefault="005032CB" w:rsidP="005032C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032CB">
              <w:rPr>
                <w:rFonts w:ascii="Calibri" w:eastAsia="Times New Roman" w:hAnsi="Calibri" w:cs="Calibri"/>
                <w:color w:val="000000"/>
                <w:lang w:eastAsia="hr-HR"/>
              </w:rPr>
              <w:t>Indeks (4/3*100)</w:t>
            </w:r>
          </w:p>
        </w:tc>
      </w:tr>
      <w:tr w:rsidR="005032CB" w:rsidRPr="005032CB" w14:paraId="73E5554A" w14:textId="77777777" w:rsidTr="00090FB6">
        <w:trPr>
          <w:trHeight w:val="227"/>
        </w:trPr>
        <w:tc>
          <w:tcPr>
            <w:tcW w:w="2575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7E6E6"/>
            <w:noWrap/>
            <w:vAlign w:val="center"/>
            <w:hideMark/>
          </w:tcPr>
          <w:p w14:paraId="73D6484F" w14:textId="77777777" w:rsidR="005032CB" w:rsidRPr="005032CB" w:rsidRDefault="005032CB" w:rsidP="005032C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032CB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vAlign w:val="center"/>
            <w:hideMark/>
          </w:tcPr>
          <w:p w14:paraId="7EA0F2E9" w14:textId="77777777" w:rsidR="005032CB" w:rsidRPr="005032CB" w:rsidRDefault="005032CB" w:rsidP="005032C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032CB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vAlign w:val="center"/>
            <w:hideMark/>
          </w:tcPr>
          <w:p w14:paraId="7F93CA5A" w14:textId="77777777" w:rsidR="005032CB" w:rsidRPr="005032CB" w:rsidRDefault="005032CB" w:rsidP="005032C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032CB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vAlign w:val="center"/>
            <w:hideMark/>
          </w:tcPr>
          <w:p w14:paraId="63C6ECAF" w14:textId="77777777" w:rsidR="005032CB" w:rsidRPr="005032CB" w:rsidRDefault="005032CB" w:rsidP="005032C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032CB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vAlign w:val="center"/>
            <w:hideMark/>
          </w:tcPr>
          <w:p w14:paraId="6172D781" w14:textId="77777777" w:rsidR="005032CB" w:rsidRPr="005032CB" w:rsidRDefault="005032CB" w:rsidP="005032C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032CB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0DC25937" w14:textId="77777777" w:rsidR="005032CB" w:rsidRPr="005032CB" w:rsidRDefault="005032CB" w:rsidP="005032CB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032CB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</w:tr>
      <w:tr w:rsidR="005032CB" w:rsidRPr="005032CB" w14:paraId="463587FA" w14:textId="77777777" w:rsidTr="00090FB6">
        <w:trPr>
          <w:trHeight w:val="227"/>
        </w:trPr>
        <w:tc>
          <w:tcPr>
            <w:tcW w:w="27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005EE92" w14:textId="77777777" w:rsidR="005032CB" w:rsidRPr="005032CB" w:rsidRDefault="005032CB" w:rsidP="005032C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032C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36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3E9E2617" w14:textId="77777777" w:rsidR="005032CB" w:rsidRPr="005032CB" w:rsidRDefault="005032CB" w:rsidP="005032CB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032C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Pomoći dane u inozemstvo i unutar općeg proračuna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4280C08" w14:textId="77777777" w:rsidR="005032CB" w:rsidRPr="005032CB" w:rsidRDefault="005032CB" w:rsidP="005032C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032C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4.911,54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F627A48" w14:textId="77777777" w:rsidR="005032CB" w:rsidRPr="005032CB" w:rsidRDefault="005032CB" w:rsidP="005032C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032C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90.500,00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FF9DACC" w14:textId="77777777" w:rsidR="005032CB" w:rsidRPr="005032CB" w:rsidRDefault="005032CB" w:rsidP="005032C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032C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26.216,44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F4B9841" w14:textId="77777777" w:rsidR="005032CB" w:rsidRPr="005032CB" w:rsidRDefault="005032CB" w:rsidP="005032C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032C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533,77%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21CCEC8" w14:textId="77777777" w:rsidR="005032CB" w:rsidRPr="005032CB" w:rsidRDefault="005032CB" w:rsidP="005032C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5032CB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28,97%</w:t>
            </w:r>
          </w:p>
        </w:tc>
      </w:tr>
      <w:tr w:rsidR="005032CB" w:rsidRPr="005032CB" w14:paraId="039E500B" w14:textId="77777777" w:rsidTr="00090FB6">
        <w:trPr>
          <w:trHeight w:val="227"/>
        </w:trPr>
        <w:tc>
          <w:tcPr>
            <w:tcW w:w="27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EAE59F0" w14:textId="77777777" w:rsidR="005032CB" w:rsidRPr="005032CB" w:rsidRDefault="005032CB" w:rsidP="005032C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032CB">
              <w:rPr>
                <w:rFonts w:ascii="Calibri" w:eastAsia="Times New Roman" w:hAnsi="Calibri" w:cs="Calibri"/>
                <w:color w:val="000000"/>
                <w:lang w:eastAsia="hr-HR"/>
              </w:rPr>
              <w:t>363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51BD170A" w14:textId="77777777" w:rsidR="005032CB" w:rsidRPr="005032CB" w:rsidRDefault="005032CB" w:rsidP="005032C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032CB">
              <w:rPr>
                <w:rFonts w:ascii="Calibri" w:eastAsia="Times New Roman" w:hAnsi="Calibri" w:cs="Calibri"/>
                <w:color w:val="000000"/>
                <w:lang w:eastAsia="hr-HR"/>
              </w:rPr>
              <w:t>Pomoći unutar općeg proračuna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E29C614" w14:textId="77777777" w:rsidR="005032CB" w:rsidRPr="005032CB" w:rsidRDefault="005032CB" w:rsidP="005032C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032CB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3A0D93E" w14:textId="77777777" w:rsidR="005032CB" w:rsidRPr="005032CB" w:rsidRDefault="005032CB" w:rsidP="005032C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032C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CBAC92F" w14:textId="77777777" w:rsidR="005032CB" w:rsidRPr="005032CB" w:rsidRDefault="005032CB" w:rsidP="005032C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032CB">
              <w:rPr>
                <w:rFonts w:ascii="Calibri" w:eastAsia="Times New Roman" w:hAnsi="Calibri" w:cs="Calibri"/>
                <w:color w:val="000000"/>
                <w:lang w:eastAsia="hr-HR"/>
              </w:rPr>
              <w:t>18.783,44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4C4E99D" w14:textId="77777777" w:rsidR="005032CB" w:rsidRPr="005032CB" w:rsidRDefault="005032CB" w:rsidP="005032C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032CB">
              <w:rPr>
                <w:rFonts w:ascii="Calibri" w:eastAsia="Times New Roman" w:hAnsi="Calibri" w:cs="Calibri"/>
                <w:color w:val="000000"/>
                <w:lang w:eastAsia="hr-HR"/>
              </w:rPr>
              <w:t>0,00%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1430833" w14:textId="77777777" w:rsidR="005032CB" w:rsidRPr="005032CB" w:rsidRDefault="005032CB" w:rsidP="005032C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032C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032CB" w:rsidRPr="005032CB" w14:paraId="1279F0AD" w14:textId="77777777" w:rsidTr="00090FB6">
        <w:trPr>
          <w:trHeight w:val="227"/>
        </w:trPr>
        <w:tc>
          <w:tcPr>
            <w:tcW w:w="27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B715C5C" w14:textId="77777777" w:rsidR="005032CB" w:rsidRPr="005032CB" w:rsidRDefault="005032CB" w:rsidP="005032C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032CB">
              <w:rPr>
                <w:rFonts w:ascii="Calibri" w:eastAsia="Times New Roman" w:hAnsi="Calibri" w:cs="Calibri"/>
                <w:color w:val="000000"/>
                <w:lang w:eastAsia="hr-HR"/>
              </w:rPr>
              <w:t>3632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76F11AC1" w14:textId="77777777" w:rsidR="005032CB" w:rsidRPr="005032CB" w:rsidRDefault="005032CB" w:rsidP="005032C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032CB">
              <w:rPr>
                <w:rFonts w:ascii="Calibri" w:eastAsia="Times New Roman" w:hAnsi="Calibri" w:cs="Calibri"/>
                <w:color w:val="000000"/>
                <w:lang w:eastAsia="hr-HR"/>
              </w:rPr>
              <w:t>Kapitalne pomoći unutar općeg proračuna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A9C5D45" w14:textId="77777777" w:rsidR="005032CB" w:rsidRPr="005032CB" w:rsidRDefault="005032CB" w:rsidP="005032C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032CB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BB2DCFB" w14:textId="77777777" w:rsidR="005032CB" w:rsidRPr="005032CB" w:rsidRDefault="005032CB" w:rsidP="005032C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032C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7D47CE0" w14:textId="77777777" w:rsidR="005032CB" w:rsidRPr="005032CB" w:rsidRDefault="005032CB" w:rsidP="005032C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032CB">
              <w:rPr>
                <w:rFonts w:ascii="Calibri" w:eastAsia="Times New Roman" w:hAnsi="Calibri" w:cs="Calibri"/>
                <w:color w:val="000000"/>
                <w:lang w:eastAsia="hr-HR"/>
              </w:rPr>
              <w:t>18.783,44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DC7623C" w14:textId="77777777" w:rsidR="005032CB" w:rsidRPr="005032CB" w:rsidRDefault="005032CB" w:rsidP="005032C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032CB">
              <w:rPr>
                <w:rFonts w:ascii="Calibri" w:eastAsia="Times New Roman" w:hAnsi="Calibri" w:cs="Calibri"/>
                <w:color w:val="000000"/>
                <w:lang w:eastAsia="hr-HR"/>
              </w:rPr>
              <w:t>0,00%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5106EDC" w14:textId="77777777" w:rsidR="005032CB" w:rsidRPr="005032CB" w:rsidRDefault="005032CB" w:rsidP="005032C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032C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032CB" w:rsidRPr="005032CB" w14:paraId="0C71227E" w14:textId="77777777" w:rsidTr="00090FB6">
        <w:trPr>
          <w:trHeight w:val="227"/>
        </w:trPr>
        <w:tc>
          <w:tcPr>
            <w:tcW w:w="27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B12CEF9" w14:textId="77777777" w:rsidR="005032CB" w:rsidRPr="005032CB" w:rsidRDefault="005032CB" w:rsidP="005032C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032CB">
              <w:rPr>
                <w:rFonts w:ascii="Calibri" w:eastAsia="Times New Roman" w:hAnsi="Calibri" w:cs="Calibri"/>
                <w:color w:val="000000"/>
                <w:lang w:eastAsia="hr-HR"/>
              </w:rPr>
              <w:t>366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4B9B1427" w14:textId="77777777" w:rsidR="005032CB" w:rsidRPr="005032CB" w:rsidRDefault="005032CB" w:rsidP="005032C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032CB">
              <w:rPr>
                <w:rFonts w:ascii="Calibri" w:eastAsia="Times New Roman" w:hAnsi="Calibri" w:cs="Calibri"/>
                <w:color w:val="000000"/>
                <w:lang w:eastAsia="hr-HR"/>
              </w:rPr>
              <w:t>Pomoći proračunskim korisnicima drugih proračuna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760F303" w14:textId="77777777" w:rsidR="005032CB" w:rsidRPr="005032CB" w:rsidRDefault="005032CB" w:rsidP="005032C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032CB">
              <w:rPr>
                <w:rFonts w:ascii="Calibri" w:eastAsia="Times New Roman" w:hAnsi="Calibri" w:cs="Calibri"/>
                <w:color w:val="000000"/>
                <w:lang w:eastAsia="hr-HR"/>
              </w:rPr>
              <w:t>4.911,54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D578191" w14:textId="77777777" w:rsidR="005032CB" w:rsidRPr="005032CB" w:rsidRDefault="005032CB" w:rsidP="005032C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032C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112A2D2" w14:textId="77777777" w:rsidR="005032CB" w:rsidRPr="005032CB" w:rsidRDefault="005032CB" w:rsidP="005032C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032CB">
              <w:rPr>
                <w:rFonts w:ascii="Calibri" w:eastAsia="Times New Roman" w:hAnsi="Calibri" w:cs="Calibri"/>
                <w:color w:val="000000"/>
                <w:lang w:eastAsia="hr-HR"/>
              </w:rPr>
              <w:t>7.433,00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2FD119A" w14:textId="77777777" w:rsidR="005032CB" w:rsidRPr="005032CB" w:rsidRDefault="005032CB" w:rsidP="005032C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032CB">
              <w:rPr>
                <w:rFonts w:ascii="Calibri" w:eastAsia="Times New Roman" w:hAnsi="Calibri" w:cs="Calibri"/>
                <w:color w:val="000000"/>
                <w:lang w:eastAsia="hr-HR"/>
              </w:rPr>
              <w:t>151,34%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1992D72" w14:textId="77777777" w:rsidR="005032CB" w:rsidRPr="005032CB" w:rsidRDefault="005032CB" w:rsidP="005032C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032C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5032CB" w:rsidRPr="005032CB" w14:paraId="255AE62E" w14:textId="77777777" w:rsidTr="00090FB6">
        <w:trPr>
          <w:trHeight w:val="227"/>
        </w:trPr>
        <w:tc>
          <w:tcPr>
            <w:tcW w:w="27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B44F877" w14:textId="77777777" w:rsidR="005032CB" w:rsidRPr="005032CB" w:rsidRDefault="005032CB" w:rsidP="005032C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032CB">
              <w:rPr>
                <w:rFonts w:ascii="Calibri" w:eastAsia="Times New Roman" w:hAnsi="Calibri" w:cs="Calibri"/>
                <w:color w:val="000000"/>
                <w:lang w:eastAsia="hr-HR"/>
              </w:rPr>
              <w:t>3661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4FFCCC04" w14:textId="77777777" w:rsidR="005032CB" w:rsidRPr="005032CB" w:rsidRDefault="005032CB" w:rsidP="005032CB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032CB">
              <w:rPr>
                <w:rFonts w:ascii="Calibri" w:eastAsia="Times New Roman" w:hAnsi="Calibri" w:cs="Calibri"/>
                <w:color w:val="000000"/>
                <w:lang w:eastAsia="hr-HR"/>
              </w:rPr>
              <w:t>Tekuće pomoći proračunskim korisnicima drugih proračuna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02B86C0" w14:textId="77777777" w:rsidR="005032CB" w:rsidRPr="005032CB" w:rsidRDefault="005032CB" w:rsidP="005032C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032CB">
              <w:rPr>
                <w:rFonts w:ascii="Calibri" w:eastAsia="Times New Roman" w:hAnsi="Calibri" w:cs="Calibri"/>
                <w:color w:val="000000"/>
                <w:lang w:eastAsia="hr-HR"/>
              </w:rPr>
              <w:t>4.911,54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0DD50AA" w14:textId="77777777" w:rsidR="005032CB" w:rsidRPr="005032CB" w:rsidRDefault="005032CB" w:rsidP="005032C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032C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56C463A" w14:textId="77777777" w:rsidR="005032CB" w:rsidRPr="005032CB" w:rsidRDefault="005032CB" w:rsidP="005032C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032CB">
              <w:rPr>
                <w:rFonts w:ascii="Calibri" w:eastAsia="Times New Roman" w:hAnsi="Calibri" w:cs="Calibri"/>
                <w:color w:val="000000"/>
                <w:lang w:eastAsia="hr-HR"/>
              </w:rPr>
              <w:t>7.433,00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5CEE8F2" w14:textId="77777777" w:rsidR="005032CB" w:rsidRPr="005032CB" w:rsidRDefault="005032CB" w:rsidP="005032C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032CB">
              <w:rPr>
                <w:rFonts w:ascii="Calibri" w:eastAsia="Times New Roman" w:hAnsi="Calibri" w:cs="Calibri"/>
                <w:color w:val="000000"/>
                <w:lang w:eastAsia="hr-HR"/>
              </w:rPr>
              <w:t>151,34%</w:t>
            </w:r>
          </w:p>
        </w:tc>
        <w:tc>
          <w:tcPr>
            <w:tcW w:w="46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DCB8FDD" w14:textId="77777777" w:rsidR="005032CB" w:rsidRPr="005032CB" w:rsidRDefault="005032CB" w:rsidP="005032CB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5032CB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</w:tbl>
    <w:p w14:paraId="6D7815F8" w14:textId="678E6858" w:rsidR="00090FB6" w:rsidRPr="00090FB6" w:rsidRDefault="00090FB6" w:rsidP="00090FB6">
      <w:pPr>
        <w:spacing w:before="120" w:after="120" w:line="240" w:lineRule="auto"/>
        <w:jc w:val="both"/>
        <w:rPr>
          <w:rFonts w:cstheme="minorHAnsi"/>
          <w:sz w:val="22"/>
          <w:szCs w:val="22"/>
        </w:rPr>
      </w:pPr>
      <w:r w:rsidRPr="00090FB6">
        <w:rPr>
          <w:rFonts w:cstheme="minorHAnsi"/>
          <w:sz w:val="22"/>
          <w:szCs w:val="22"/>
        </w:rPr>
        <w:t xml:space="preserve">Pomoći unutar općeg proračuna u iznosu od 18.783,44 eura odnose na prijenos sredstava Hrvatskim vodama u sklopu sufinanciranja nacionalne komponente projekta NPOO C1.3.R1-14.02.0062 „Izgradnja i poboljšanje vodoopskrbnog sustava na uslužnom području Đakovačkog vodovoda“, vezano za proširenje vodoopskrbne mreže u naseljima Slobodna Vlast, </w:t>
      </w:r>
      <w:proofErr w:type="spellStart"/>
      <w:r w:rsidRPr="00090FB6">
        <w:rPr>
          <w:rFonts w:cstheme="minorHAnsi"/>
          <w:sz w:val="22"/>
          <w:szCs w:val="22"/>
        </w:rPr>
        <w:t>Musić</w:t>
      </w:r>
      <w:proofErr w:type="spellEnd"/>
      <w:r w:rsidRPr="00090FB6">
        <w:rPr>
          <w:rFonts w:cstheme="minorHAnsi"/>
          <w:sz w:val="22"/>
          <w:szCs w:val="22"/>
        </w:rPr>
        <w:t xml:space="preserve"> i dio naselja Levanjska Varoš.</w:t>
      </w:r>
    </w:p>
    <w:p w14:paraId="14D7D546" w14:textId="77777777" w:rsidR="00090FB6" w:rsidRDefault="00090FB6" w:rsidP="00090FB6">
      <w:pPr>
        <w:spacing w:before="120" w:after="120" w:line="240" w:lineRule="auto"/>
        <w:jc w:val="both"/>
        <w:rPr>
          <w:rFonts w:cstheme="minorHAnsi"/>
          <w:sz w:val="22"/>
          <w:szCs w:val="22"/>
        </w:rPr>
      </w:pPr>
      <w:r w:rsidRPr="00090FB6">
        <w:rPr>
          <w:rFonts w:cstheme="minorHAnsi"/>
          <w:sz w:val="22"/>
          <w:szCs w:val="22"/>
        </w:rPr>
        <w:t xml:space="preserve">Pomoći proračunskim korisnicima drugih proračuna se odnose na donacije na školstvo, odnosno program </w:t>
      </w:r>
      <w:proofErr w:type="spellStart"/>
      <w:r w:rsidRPr="00090FB6">
        <w:rPr>
          <w:rFonts w:cstheme="minorHAnsi"/>
          <w:sz w:val="22"/>
          <w:szCs w:val="22"/>
        </w:rPr>
        <w:t>predškole</w:t>
      </w:r>
      <w:proofErr w:type="spellEnd"/>
      <w:r w:rsidRPr="00090FB6">
        <w:rPr>
          <w:rFonts w:cstheme="minorHAnsi"/>
          <w:sz w:val="22"/>
          <w:szCs w:val="22"/>
        </w:rPr>
        <w:t xml:space="preserve"> i druge školske potrebe.</w:t>
      </w:r>
    </w:p>
    <w:p w14:paraId="4E4ECB00" w14:textId="77777777" w:rsidR="000C7768" w:rsidRPr="00395275" w:rsidRDefault="000C7768" w:rsidP="00000576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</w:p>
    <w:p w14:paraId="098697FD" w14:textId="737AF838" w:rsidR="005809AA" w:rsidRPr="00C21516" w:rsidRDefault="00C21516" w:rsidP="00165728">
      <w:pPr>
        <w:pStyle w:val="Naslov3"/>
        <w:numPr>
          <w:ilvl w:val="2"/>
          <w:numId w:val="4"/>
        </w:numPr>
        <w:spacing w:before="0" w:after="120"/>
        <w:ind w:left="504"/>
        <w:rPr>
          <w:b/>
          <w:sz w:val="22"/>
        </w:rPr>
      </w:pPr>
      <w:bookmarkStart w:id="26" w:name="_Toc209436506"/>
      <w:r w:rsidRPr="00C21516">
        <w:rPr>
          <w:b/>
          <w:caps w:val="0"/>
          <w:sz w:val="22"/>
        </w:rPr>
        <w:t>Naknade građanima i kućanstvima na temelju osiguranja i druge naknade</w:t>
      </w:r>
      <w:bookmarkEnd w:id="26"/>
    </w:p>
    <w:p w14:paraId="0B818ABF" w14:textId="42EA4D78" w:rsidR="005809AA" w:rsidRDefault="005809AA" w:rsidP="00000576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000576">
        <w:rPr>
          <w:rFonts w:cstheme="minorHAnsi"/>
          <w:sz w:val="22"/>
          <w:szCs w:val="22"/>
        </w:rPr>
        <w:t>Naknade građanima i kućanstvima realizirane su u iznosu od</w:t>
      </w:r>
      <w:r w:rsidR="003C6F29" w:rsidRPr="00000576">
        <w:rPr>
          <w:rFonts w:cstheme="minorHAnsi"/>
          <w:sz w:val="22"/>
          <w:szCs w:val="22"/>
        </w:rPr>
        <w:t xml:space="preserve"> </w:t>
      </w:r>
      <w:r w:rsidR="00090FB6" w:rsidRPr="00090FB6">
        <w:rPr>
          <w:rFonts w:cstheme="minorHAnsi"/>
          <w:sz w:val="22"/>
          <w:szCs w:val="22"/>
        </w:rPr>
        <w:t>5.983,29</w:t>
      </w:r>
      <w:r w:rsidR="00825D8E">
        <w:rPr>
          <w:rFonts w:cstheme="minorHAnsi"/>
          <w:sz w:val="22"/>
          <w:szCs w:val="22"/>
        </w:rPr>
        <w:t xml:space="preserve"> eura</w:t>
      </w:r>
      <w:r w:rsidRPr="00000576">
        <w:rPr>
          <w:rFonts w:cstheme="minorHAnsi"/>
          <w:sz w:val="22"/>
          <w:szCs w:val="22"/>
        </w:rPr>
        <w:t xml:space="preserve"> čime je ostvareno </w:t>
      </w:r>
      <w:r w:rsidR="00090FB6">
        <w:rPr>
          <w:rFonts w:cstheme="minorHAnsi"/>
          <w:sz w:val="22"/>
          <w:szCs w:val="22"/>
        </w:rPr>
        <w:t>24,93</w:t>
      </w:r>
      <w:r w:rsidRPr="00000576">
        <w:rPr>
          <w:rFonts w:cstheme="minorHAnsi"/>
          <w:sz w:val="22"/>
          <w:szCs w:val="22"/>
        </w:rPr>
        <w:t>% Plana. U odnosu na prethodnu godinu</w:t>
      </w:r>
      <w:r w:rsidR="00CE192F" w:rsidRPr="00000576">
        <w:rPr>
          <w:rFonts w:cstheme="minorHAnsi"/>
          <w:sz w:val="22"/>
          <w:szCs w:val="22"/>
        </w:rPr>
        <w:t>,</w:t>
      </w:r>
      <w:r w:rsidRPr="00000576">
        <w:rPr>
          <w:rFonts w:cstheme="minorHAnsi"/>
          <w:sz w:val="22"/>
          <w:szCs w:val="22"/>
        </w:rPr>
        <w:t xml:space="preserve"> bilježimo </w:t>
      </w:r>
      <w:r w:rsidR="00090D6F">
        <w:rPr>
          <w:rFonts w:cstheme="minorHAnsi"/>
          <w:sz w:val="22"/>
          <w:szCs w:val="22"/>
        </w:rPr>
        <w:t>smanjenje</w:t>
      </w:r>
      <w:r w:rsidRPr="00000576">
        <w:rPr>
          <w:rFonts w:cstheme="minorHAnsi"/>
          <w:sz w:val="22"/>
          <w:szCs w:val="22"/>
        </w:rPr>
        <w:t xml:space="preserve"> izdvajanja za </w:t>
      </w:r>
      <w:r w:rsidR="00090FB6">
        <w:rPr>
          <w:rFonts w:cstheme="minorHAnsi"/>
          <w:sz w:val="22"/>
          <w:szCs w:val="22"/>
        </w:rPr>
        <w:t>28,39</w:t>
      </w:r>
      <w:r w:rsidRPr="00000576">
        <w:rPr>
          <w:rFonts w:cstheme="minorHAnsi"/>
          <w:sz w:val="22"/>
          <w:szCs w:val="22"/>
        </w:rPr>
        <w:t>%.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4"/>
        <w:gridCol w:w="4810"/>
        <w:gridCol w:w="993"/>
        <w:gridCol w:w="1133"/>
        <w:gridCol w:w="993"/>
        <w:gridCol w:w="991"/>
        <w:gridCol w:w="962"/>
      </w:tblGrid>
      <w:tr w:rsidR="00090FB6" w:rsidRPr="00090FB6" w14:paraId="66B180F3" w14:textId="77777777" w:rsidTr="00090FB6">
        <w:trPr>
          <w:trHeight w:val="227"/>
        </w:trPr>
        <w:tc>
          <w:tcPr>
            <w:tcW w:w="2574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2613D9B" w14:textId="77777777" w:rsidR="00090FB6" w:rsidRPr="00090FB6" w:rsidRDefault="00090FB6" w:rsidP="00090FB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90FB6">
              <w:rPr>
                <w:rFonts w:ascii="Calibri" w:eastAsia="Times New Roman" w:hAnsi="Calibri" w:cs="Calibri"/>
                <w:color w:val="000000"/>
                <w:lang w:eastAsia="hr-HR"/>
              </w:rPr>
              <w:t>Brojčana oznaka i naziv računa</w:t>
            </w:r>
          </w:p>
        </w:tc>
        <w:tc>
          <w:tcPr>
            <w:tcW w:w="4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78F18C3B" w14:textId="77777777" w:rsidR="00090FB6" w:rsidRDefault="00090FB6" w:rsidP="00090FB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90FB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Izvršenje </w:t>
            </w:r>
          </w:p>
          <w:p w14:paraId="67851AE7" w14:textId="2671DB29" w:rsidR="00090FB6" w:rsidRPr="00090FB6" w:rsidRDefault="00090FB6" w:rsidP="00090FB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90FB6">
              <w:rPr>
                <w:rFonts w:ascii="Calibri" w:eastAsia="Times New Roman" w:hAnsi="Calibri" w:cs="Calibri"/>
                <w:color w:val="000000"/>
                <w:lang w:eastAsia="hr-HR"/>
              </w:rPr>
              <w:t>I-VI 2024.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78660794" w14:textId="77777777" w:rsidR="00090FB6" w:rsidRPr="00090FB6" w:rsidRDefault="00090FB6" w:rsidP="00090FB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90FB6">
              <w:rPr>
                <w:rFonts w:ascii="Calibri" w:eastAsia="Times New Roman" w:hAnsi="Calibri" w:cs="Calibri"/>
                <w:color w:val="000000"/>
                <w:lang w:eastAsia="hr-HR"/>
              </w:rPr>
              <w:t>Proračun 2025</w:t>
            </w:r>
          </w:p>
        </w:tc>
        <w:tc>
          <w:tcPr>
            <w:tcW w:w="4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6EE45BD1" w14:textId="77777777" w:rsidR="00090FB6" w:rsidRDefault="00090FB6" w:rsidP="00090FB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90FB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Izvršenje </w:t>
            </w:r>
          </w:p>
          <w:p w14:paraId="7D3DACAD" w14:textId="659DB98E" w:rsidR="00090FB6" w:rsidRPr="00090FB6" w:rsidRDefault="00090FB6" w:rsidP="00090FB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90FB6">
              <w:rPr>
                <w:rFonts w:ascii="Calibri" w:eastAsia="Times New Roman" w:hAnsi="Calibri" w:cs="Calibri"/>
                <w:color w:val="000000"/>
                <w:lang w:eastAsia="hr-HR"/>
              </w:rPr>
              <w:t>I-VI 2025.</w:t>
            </w:r>
          </w:p>
        </w:tc>
        <w:tc>
          <w:tcPr>
            <w:tcW w:w="47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4216690D" w14:textId="77777777" w:rsidR="00090FB6" w:rsidRPr="00090FB6" w:rsidRDefault="00090FB6" w:rsidP="00090FB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90FB6">
              <w:rPr>
                <w:rFonts w:ascii="Calibri" w:eastAsia="Times New Roman" w:hAnsi="Calibri" w:cs="Calibri"/>
                <w:color w:val="000000"/>
                <w:lang w:eastAsia="hr-HR"/>
              </w:rPr>
              <w:t>Indeks (4/2*100)</w:t>
            </w:r>
          </w:p>
        </w:tc>
        <w:tc>
          <w:tcPr>
            <w:tcW w:w="46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70C8E977" w14:textId="77777777" w:rsidR="00090FB6" w:rsidRPr="00090FB6" w:rsidRDefault="00090FB6" w:rsidP="00090FB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90FB6">
              <w:rPr>
                <w:rFonts w:ascii="Calibri" w:eastAsia="Times New Roman" w:hAnsi="Calibri" w:cs="Calibri"/>
                <w:color w:val="000000"/>
                <w:lang w:eastAsia="hr-HR"/>
              </w:rPr>
              <w:t>Indeks (4/3*100)</w:t>
            </w:r>
          </w:p>
        </w:tc>
      </w:tr>
      <w:tr w:rsidR="00090FB6" w:rsidRPr="00090FB6" w14:paraId="05910E56" w14:textId="77777777" w:rsidTr="00090FB6">
        <w:trPr>
          <w:trHeight w:val="227"/>
        </w:trPr>
        <w:tc>
          <w:tcPr>
            <w:tcW w:w="2574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7E6E6"/>
            <w:noWrap/>
            <w:vAlign w:val="center"/>
            <w:hideMark/>
          </w:tcPr>
          <w:p w14:paraId="42ACDAE5" w14:textId="77777777" w:rsidR="00090FB6" w:rsidRPr="00090FB6" w:rsidRDefault="00090FB6" w:rsidP="00090FB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90FB6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vAlign w:val="center"/>
            <w:hideMark/>
          </w:tcPr>
          <w:p w14:paraId="7C565D40" w14:textId="77777777" w:rsidR="00090FB6" w:rsidRPr="00090FB6" w:rsidRDefault="00090FB6" w:rsidP="00090FB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90FB6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vAlign w:val="center"/>
            <w:hideMark/>
          </w:tcPr>
          <w:p w14:paraId="18446D31" w14:textId="77777777" w:rsidR="00090FB6" w:rsidRPr="00090FB6" w:rsidRDefault="00090FB6" w:rsidP="00090FB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90FB6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vAlign w:val="center"/>
            <w:hideMark/>
          </w:tcPr>
          <w:p w14:paraId="141DBDE8" w14:textId="77777777" w:rsidR="00090FB6" w:rsidRPr="00090FB6" w:rsidRDefault="00090FB6" w:rsidP="00090FB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90FB6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vAlign w:val="center"/>
            <w:hideMark/>
          </w:tcPr>
          <w:p w14:paraId="540B1D3C" w14:textId="77777777" w:rsidR="00090FB6" w:rsidRPr="00090FB6" w:rsidRDefault="00090FB6" w:rsidP="00090FB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90FB6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496D6A3A" w14:textId="77777777" w:rsidR="00090FB6" w:rsidRPr="00090FB6" w:rsidRDefault="00090FB6" w:rsidP="00090FB6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90FB6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</w:tr>
      <w:tr w:rsidR="00090FB6" w:rsidRPr="00090FB6" w14:paraId="4254F302" w14:textId="77777777" w:rsidTr="00090FB6">
        <w:trPr>
          <w:trHeight w:val="227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8DFB5DC" w14:textId="77777777" w:rsidR="00090FB6" w:rsidRPr="00090FB6" w:rsidRDefault="00090FB6" w:rsidP="00090FB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90FB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37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295090BD" w14:textId="77777777" w:rsidR="00090FB6" w:rsidRPr="00090FB6" w:rsidRDefault="00090FB6" w:rsidP="00090FB6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90FB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Naknade građanima i kućanstvima na temelju osiguranja i druge naknade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2CD7802" w14:textId="77777777" w:rsidR="00090FB6" w:rsidRPr="00090FB6" w:rsidRDefault="00090FB6" w:rsidP="00090FB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90FB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8.355,06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F8193EE" w14:textId="77777777" w:rsidR="00090FB6" w:rsidRPr="00090FB6" w:rsidRDefault="00090FB6" w:rsidP="00090FB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90FB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24.000,00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914FBEF" w14:textId="77777777" w:rsidR="00090FB6" w:rsidRPr="00090FB6" w:rsidRDefault="00090FB6" w:rsidP="00090FB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90FB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5.983,29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511DE03" w14:textId="77777777" w:rsidR="00090FB6" w:rsidRPr="00090FB6" w:rsidRDefault="00090FB6" w:rsidP="00090FB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90FB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71,61%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97ED8ED" w14:textId="77777777" w:rsidR="00090FB6" w:rsidRPr="00090FB6" w:rsidRDefault="00090FB6" w:rsidP="00090FB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090FB6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24,93%</w:t>
            </w:r>
          </w:p>
        </w:tc>
      </w:tr>
      <w:tr w:rsidR="00090FB6" w:rsidRPr="00090FB6" w14:paraId="1A706A20" w14:textId="77777777" w:rsidTr="00090FB6">
        <w:trPr>
          <w:trHeight w:val="227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FFB77AE" w14:textId="77777777" w:rsidR="00090FB6" w:rsidRPr="00090FB6" w:rsidRDefault="00090FB6" w:rsidP="00090FB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90FB6">
              <w:rPr>
                <w:rFonts w:ascii="Calibri" w:eastAsia="Times New Roman" w:hAnsi="Calibri" w:cs="Calibri"/>
                <w:color w:val="000000"/>
                <w:lang w:eastAsia="hr-HR"/>
              </w:rPr>
              <w:t>372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7D2B33E3" w14:textId="77777777" w:rsidR="00090FB6" w:rsidRPr="00090FB6" w:rsidRDefault="00090FB6" w:rsidP="00090FB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90FB6">
              <w:rPr>
                <w:rFonts w:ascii="Calibri" w:eastAsia="Times New Roman" w:hAnsi="Calibri" w:cs="Calibri"/>
                <w:color w:val="000000"/>
                <w:lang w:eastAsia="hr-HR"/>
              </w:rPr>
              <w:t>Ostale naknade građanima i kućanstvima iz proračuna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D7277F5" w14:textId="77777777" w:rsidR="00090FB6" w:rsidRPr="00090FB6" w:rsidRDefault="00090FB6" w:rsidP="00090FB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90FB6">
              <w:rPr>
                <w:rFonts w:ascii="Calibri" w:eastAsia="Times New Roman" w:hAnsi="Calibri" w:cs="Calibri"/>
                <w:color w:val="000000"/>
                <w:lang w:eastAsia="hr-HR"/>
              </w:rPr>
              <w:t>8.355,06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B70F2CF" w14:textId="77777777" w:rsidR="00090FB6" w:rsidRPr="00090FB6" w:rsidRDefault="00090FB6" w:rsidP="00090FB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90FB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71FABF8" w14:textId="77777777" w:rsidR="00090FB6" w:rsidRPr="00090FB6" w:rsidRDefault="00090FB6" w:rsidP="00090FB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90FB6">
              <w:rPr>
                <w:rFonts w:ascii="Calibri" w:eastAsia="Times New Roman" w:hAnsi="Calibri" w:cs="Calibri"/>
                <w:color w:val="000000"/>
                <w:lang w:eastAsia="hr-HR"/>
              </w:rPr>
              <w:t>5.983,29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515087D" w14:textId="77777777" w:rsidR="00090FB6" w:rsidRPr="00090FB6" w:rsidRDefault="00090FB6" w:rsidP="00090FB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90FB6">
              <w:rPr>
                <w:rFonts w:ascii="Calibri" w:eastAsia="Times New Roman" w:hAnsi="Calibri" w:cs="Calibri"/>
                <w:color w:val="000000"/>
                <w:lang w:eastAsia="hr-HR"/>
              </w:rPr>
              <w:t>71,61%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2F34A27" w14:textId="77777777" w:rsidR="00090FB6" w:rsidRPr="00090FB6" w:rsidRDefault="00090FB6" w:rsidP="00090FB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90FB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90FB6" w:rsidRPr="00090FB6" w14:paraId="0B91C0C6" w14:textId="77777777" w:rsidTr="00090FB6">
        <w:trPr>
          <w:trHeight w:val="227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5A40AB1" w14:textId="77777777" w:rsidR="00090FB6" w:rsidRPr="00090FB6" w:rsidRDefault="00090FB6" w:rsidP="00090FB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90FB6">
              <w:rPr>
                <w:rFonts w:ascii="Calibri" w:eastAsia="Times New Roman" w:hAnsi="Calibri" w:cs="Calibri"/>
                <w:color w:val="000000"/>
                <w:lang w:eastAsia="hr-HR"/>
              </w:rPr>
              <w:t>3721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613B0390" w14:textId="77777777" w:rsidR="00090FB6" w:rsidRPr="00090FB6" w:rsidRDefault="00090FB6" w:rsidP="00090FB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90FB6">
              <w:rPr>
                <w:rFonts w:ascii="Calibri" w:eastAsia="Times New Roman" w:hAnsi="Calibri" w:cs="Calibri"/>
                <w:color w:val="000000"/>
                <w:lang w:eastAsia="hr-HR"/>
              </w:rPr>
              <w:t>Naknade građanima i kućanstvima u novcu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0048E4B" w14:textId="77777777" w:rsidR="00090FB6" w:rsidRPr="00090FB6" w:rsidRDefault="00090FB6" w:rsidP="00090FB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90FB6">
              <w:rPr>
                <w:rFonts w:ascii="Calibri" w:eastAsia="Times New Roman" w:hAnsi="Calibri" w:cs="Calibri"/>
                <w:color w:val="000000"/>
                <w:lang w:eastAsia="hr-HR"/>
              </w:rPr>
              <w:t>5.699,60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9D3AB10" w14:textId="77777777" w:rsidR="00090FB6" w:rsidRPr="00090FB6" w:rsidRDefault="00090FB6" w:rsidP="00090FB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90FB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8565A29" w14:textId="77777777" w:rsidR="00090FB6" w:rsidRPr="00090FB6" w:rsidRDefault="00090FB6" w:rsidP="00090FB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90FB6">
              <w:rPr>
                <w:rFonts w:ascii="Calibri" w:eastAsia="Times New Roman" w:hAnsi="Calibri" w:cs="Calibri"/>
                <w:color w:val="000000"/>
                <w:lang w:eastAsia="hr-HR"/>
              </w:rPr>
              <w:t>3.654,81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3CD8619" w14:textId="77777777" w:rsidR="00090FB6" w:rsidRPr="00090FB6" w:rsidRDefault="00090FB6" w:rsidP="00090FB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90FB6">
              <w:rPr>
                <w:rFonts w:ascii="Calibri" w:eastAsia="Times New Roman" w:hAnsi="Calibri" w:cs="Calibri"/>
                <w:color w:val="000000"/>
                <w:lang w:eastAsia="hr-HR"/>
              </w:rPr>
              <w:t>64,12%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E9E578E" w14:textId="77777777" w:rsidR="00090FB6" w:rsidRPr="00090FB6" w:rsidRDefault="00090FB6" w:rsidP="00090FB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90FB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090FB6" w:rsidRPr="00090FB6" w14:paraId="2E059028" w14:textId="77777777" w:rsidTr="00090FB6">
        <w:trPr>
          <w:trHeight w:val="227"/>
        </w:trPr>
        <w:tc>
          <w:tcPr>
            <w:tcW w:w="2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19D2BC4" w14:textId="77777777" w:rsidR="00090FB6" w:rsidRPr="00090FB6" w:rsidRDefault="00090FB6" w:rsidP="00090FB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90FB6">
              <w:rPr>
                <w:rFonts w:ascii="Calibri" w:eastAsia="Times New Roman" w:hAnsi="Calibri" w:cs="Calibri"/>
                <w:color w:val="000000"/>
                <w:lang w:eastAsia="hr-HR"/>
              </w:rPr>
              <w:t>3722</w:t>
            </w:r>
          </w:p>
        </w:tc>
        <w:tc>
          <w:tcPr>
            <w:tcW w:w="230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35A4F51E" w14:textId="77777777" w:rsidR="00090FB6" w:rsidRPr="00090FB6" w:rsidRDefault="00090FB6" w:rsidP="00090FB6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90FB6">
              <w:rPr>
                <w:rFonts w:ascii="Calibri" w:eastAsia="Times New Roman" w:hAnsi="Calibri" w:cs="Calibri"/>
                <w:color w:val="000000"/>
                <w:lang w:eastAsia="hr-HR"/>
              </w:rPr>
              <w:t>Naknade građanima i kućanstvima u naravi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45C3D91" w14:textId="77777777" w:rsidR="00090FB6" w:rsidRPr="00090FB6" w:rsidRDefault="00090FB6" w:rsidP="00090FB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90FB6">
              <w:rPr>
                <w:rFonts w:ascii="Calibri" w:eastAsia="Times New Roman" w:hAnsi="Calibri" w:cs="Calibri"/>
                <w:color w:val="000000"/>
                <w:lang w:eastAsia="hr-HR"/>
              </w:rPr>
              <w:t>2.655,46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1B2A9F6" w14:textId="77777777" w:rsidR="00090FB6" w:rsidRPr="00090FB6" w:rsidRDefault="00090FB6" w:rsidP="00090FB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90FB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E2F0461" w14:textId="77777777" w:rsidR="00090FB6" w:rsidRPr="00090FB6" w:rsidRDefault="00090FB6" w:rsidP="00090FB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90FB6">
              <w:rPr>
                <w:rFonts w:ascii="Calibri" w:eastAsia="Times New Roman" w:hAnsi="Calibri" w:cs="Calibri"/>
                <w:color w:val="000000"/>
                <w:lang w:eastAsia="hr-HR"/>
              </w:rPr>
              <w:t>2.328,48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CC7D80D" w14:textId="77777777" w:rsidR="00090FB6" w:rsidRPr="00090FB6" w:rsidRDefault="00090FB6" w:rsidP="00090FB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90FB6">
              <w:rPr>
                <w:rFonts w:ascii="Calibri" w:eastAsia="Times New Roman" w:hAnsi="Calibri" w:cs="Calibri"/>
                <w:color w:val="000000"/>
                <w:lang w:eastAsia="hr-HR"/>
              </w:rPr>
              <w:t>87,69%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9B84A41" w14:textId="77777777" w:rsidR="00090FB6" w:rsidRPr="00090FB6" w:rsidRDefault="00090FB6" w:rsidP="00090FB6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90FB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</w:tbl>
    <w:p w14:paraId="2C8ECFE8" w14:textId="569B6C6E" w:rsidR="00090D6F" w:rsidRDefault="00090D6F" w:rsidP="00090D6F">
      <w:pPr>
        <w:spacing w:before="120" w:after="120" w:line="240" w:lineRule="auto"/>
        <w:jc w:val="both"/>
        <w:rPr>
          <w:rFonts w:cstheme="minorHAnsi"/>
          <w:sz w:val="22"/>
          <w:szCs w:val="22"/>
        </w:rPr>
      </w:pPr>
      <w:r w:rsidRPr="00090D6F">
        <w:rPr>
          <w:rFonts w:cstheme="minorHAnsi"/>
          <w:sz w:val="22"/>
          <w:szCs w:val="22"/>
        </w:rPr>
        <w:t xml:space="preserve">Naknade građanima i kućanstvima obuhvaćaju naknade građanima u novcu i naravi </w:t>
      </w:r>
      <w:r w:rsidR="000729BA">
        <w:rPr>
          <w:rFonts w:cstheme="minorHAnsi"/>
          <w:sz w:val="22"/>
          <w:szCs w:val="22"/>
        </w:rPr>
        <w:t>sukladno Odluci o socijalnoj skrbi</w:t>
      </w:r>
      <w:r w:rsidRPr="00090D6F">
        <w:rPr>
          <w:rFonts w:cstheme="minorHAnsi"/>
          <w:sz w:val="22"/>
          <w:szCs w:val="22"/>
        </w:rPr>
        <w:t xml:space="preserve">, </w:t>
      </w:r>
      <w:r w:rsidR="000729BA">
        <w:rPr>
          <w:rFonts w:cstheme="minorHAnsi"/>
          <w:sz w:val="22"/>
          <w:szCs w:val="22"/>
        </w:rPr>
        <w:t xml:space="preserve">kao i </w:t>
      </w:r>
      <w:proofErr w:type="spellStart"/>
      <w:r w:rsidRPr="00090D6F">
        <w:rPr>
          <w:rFonts w:cstheme="minorHAnsi"/>
          <w:sz w:val="22"/>
          <w:szCs w:val="22"/>
        </w:rPr>
        <w:t>porodiljne</w:t>
      </w:r>
      <w:proofErr w:type="spellEnd"/>
      <w:r w:rsidRPr="00090D6F">
        <w:rPr>
          <w:rFonts w:cstheme="minorHAnsi"/>
          <w:sz w:val="22"/>
          <w:szCs w:val="22"/>
        </w:rPr>
        <w:t xml:space="preserve"> naknade. Ova stavka također obuhvaća sufinanciranje prijevoza učenika.</w:t>
      </w:r>
    </w:p>
    <w:p w14:paraId="074F3A94" w14:textId="77777777" w:rsidR="00C21516" w:rsidRPr="00000576" w:rsidRDefault="00C21516" w:rsidP="00000576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</w:p>
    <w:p w14:paraId="555DCC3D" w14:textId="27C03E3E" w:rsidR="00223645" w:rsidRPr="00CD1979" w:rsidRDefault="003A68BE" w:rsidP="00165728">
      <w:pPr>
        <w:pStyle w:val="Naslov3"/>
        <w:numPr>
          <w:ilvl w:val="2"/>
          <w:numId w:val="4"/>
        </w:numPr>
        <w:spacing w:before="0" w:after="120"/>
        <w:ind w:left="504"/>
        <w:rPr>
          <w:b/>
          <w:sz w:val="22"/>
        </w:rPr>
      </w:pPr>
      <w:bookmarkStart w:id="27" w:name="_Toc209436507"/>
      <w:r w:rsidRPr="003A68BE">
        <w:rPr>
          <w:b/>
          <w:caps w:val="0"/>
          <w:sz w:val="22"/>
        </w:rPr>
        <w:t>Rashodi za donacije, kazne, naknade šteta i kapitalne pomoći</w:t>
      </w:r>
      <w:bookmarkEnd w:id="27"/>
    </w:p>
    <w:p w14:paraId="0A711129" w14:textId="2735D0E3" w:rsidR="003B4D0E" w:rsidRDefault="003A68BE" w:rsidP="00000576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3A68BE">
        <w:rPr>
          <w:rFonts w:cstheme="minorHAnsi"/>
          <w:sz w:val="22"/>
          <w:szCs w:val="22"/>
        </w:rPr>
        <w:t xml:space="preserve">Rashodi za donacije, kazne, naknade šteta i kapitalne pomoći </w:t>
      </w:r>
      <w:r w:rsidR="003B4D0E" w:rsidRPr="00EE7E0D">
        <w:rPr>
          <w:rFonts w:cstheme="minorHAnsi"/>
          <w:sz w:val="22"/>
          <w:szCs w:val="22"/>
        </w:rPr>
        <w:t xml:space="preserve">su kroz tekuće donacije realizirani u iznosu od </w:t>
      </w:r>
      <w:r w:rsidRPr="003A68BE">
        <w:rPr>
          <w:rFonts w:cstheme="minorHAnsi"/>
          <w:sz w:val="22"/>
          <w:szCs w:val="22"/>
        </w:rPr>
        <w:t>3.093,12</w:t>
      </w:r>
      <w:r w:rsidR="00161D46">
        <w:rPr>
          <w:rFonts w:cstheme="minorHAnsi"/>
          <w:sz w:val="22"/>
          <w:szCs w:val="22"/>
        </w:rPr>
        <w:t xml:space="preserve"> eura</w:t>
      </w:r>
      <w:r w:rsidR="001003E5" w:rsidRPr="00EE7E0D">
        <w:rPr>
          <w:rFonts w:cstheme="minorHAnsi"/>
          <w:sz w:val="22"/>
          <w:szCs w:val="22"/>
        </w:rPr>
        <w:t xml:space="preserve">, </w:t>
      </w:r>
      <w:r w:rsidR="00161D46">
        <w:rPr>
          <w:rFonts w:cstheme="minorHAnsi"/>
          <w:sz w:val="22"/>
          <w:szCs w:val="22"/>
        </w:rPr>
        <w:t xml:space="preserve">a realizirano je </w:t>
      </w:r>
      <w:r w:rsidR="00ED1219">
        <w:rPr>
          <w:rFonts w:cstheme="minorHAnsi"/>
          <w:sz w:val="22"/>
          <w:szCs w:val="22"/>
        </w:rPr>
        <w:t>1</w:t>
      </w:r>
      <w:r>
        <w:rPr>
          <w:rFonts w:cstheme="minorHAnsi"/>
          <w:sz w:val="22"/>
          <w:szCs w:val="22"/>
        </w:rPr>
        <w:t>0,34</w:t>
      </w:r>
      <w:r w:rsidR="00161D46">
        <w:rPr>
          <w:rFonts w:cstheme="minorHAnsi"/>
          <w:sz w:val="22"/>
          <w:szCs w:val="22"/>
        </w:rPr>
        <w:t xml:space="preserve"> Plana za 202</w:t>
      </w:r>
      <w:r>
        <w:rPr>
          <w:rFonts w:cstheme="minorHAnsi"/>
          <w:sz w:val="22"/>
          <w:szCs w:val="22"/>
        </w:rPr>
        <w:t>5</w:t>
      </w:r>
      <w:r w:rsidR="00161D46">
        <w:rPr>
          <w:rFonts w:cstheme="minorHAnsi"/>
          <w:sz w:val="22"/>
          <w:szCs w:val="22"/>
        </w:rPr>
        <w:t>. godinu</w:t>
      </w:r>
      <w:r w:rsidR="00ED1219">
        <w:rPr>
          <w:rFonts w:cstheme="minorHAnsi"/>
          <w:sz w:val="22"/>
          <w:szCs w:val="22"/>
        </w:rPr>
        <w:t xml:space="preserve">, te su </w:t>
      </w:r>
      <w:r>
        <w:rPr>
          <w:rFonts w:cstheme="minorHAnsi"/>
          <w:sz w:val="22"/>
          <w:szCs w:val="22"/>
        </w:rPr>
        <w:t>36,38</w:t>
      </w:r>
      <w:r w:rsidR="00ED1219">
        <w:rPr>
          <w:rFonts w:cstheme="minorHAnsi"/>
          <w:sz w:val="22"/>
          <w:szCs w:val="22"/>
        </w:rPr>
        <w:t>% manje u odnosu na isto razdoblje prošle godine zbog drugačije dinamike isplata.</w:t>
      </w:r>
      <w:r w:rsidR="003B4D0E" w:rsidRPr="00EE7E0D">
        <w:rPr>
          <w:rFonts w:cstheme="minorHAnsi"/>
          <w:sz w:val="22"/>
          <w:szCs w:val="22"/>
        </w:rPr>
        <w:t xml:space="preserve"> 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97"/>
        <w:gridCol w:w="4787"/>
        <w:gridCol w:w="993"/>
        <w:gridCol w:w="1133"/>
        <w:gridCol w:w="993"/>
        <w:gridCol w:w="991"/>
        <w:gridCol w:w="962"/>
      </w:tblGrid>
      <w:tr w:rsidR="003A68BE" w:rsidRPr="003A68BE" w14:paraId="70EC5E86" w14:textId="77777777" w:rsidTr="003A68BE">
        <w:trPr>
          <w:trHeight w:val="227"/>
        </w:trPr>
        <w:tc>
          <w:tcPr>
            <w:tcW w:w="2574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59DAD92" w14:textId="77777777" w:rsidR="003A68BE" w:rsidRPr="003A68BE" w:rsidRDefault="003A68BE" w:rsidP="003A68B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8BE">
              <w:rPr>
                <w:rFonts w:ascii="Calibri" w:eastAsia="Times New Roman" w:hAnsi="Calibri" w:cs="Calibri"/>
                <w:color w:val="000000"/>
                <w:lang w:eastAsia="hr-HR"/>
              </w:rPr>
              <w:t>Brojčana oznaka i naziv računa</w:t>
            </w:r>
          </w:p>
        </w:tc>
        <w:tc>
          <w:tcPr>
            <w:tcW w:w="4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02EA9AEB" w14:textId="77777777" w:rsidR="00790C08" w:rsidRDefault="003A68BE" w:rsidP="003A68B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8B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Izvršenje </w:t>
            </w:r>
          </w:p>
          <w:p w14:paraId="4D18887D" w14:textId="0791E429" w:rsidR="003A68BE" w:rsidRPr="003A68BE" w:rsidRDefault="003A68BE" w:rsidP="003A68B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8BE">
              <w:rPr>
                <w:rFonts w:ascii="Calibri" w:eastAsia="Times New Roman" w:hAnsi="Calibri" w:cs="Calibri"/>
                <w:color w:val="000000"/>
                <w:lang w:eastAsia="hr-HR"/>
              </w:rPr>
              <w:t>I-VI 2024.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41390411" w14:textId="77777777" w:rsidR="003A68BE" w:rsidRPr="003A68BE" w:rsidRDefault="003A68BE" w:rsidP="003A68B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8BE">
              <w:rPr>
                <w:rFonts w:ascii="Calibri" w:eastAsia="Times New Roman" w:hAnsi="Calibri" w:cs="Calibri"/>
                <w:color w:val="000000"/>
                <w:lang w:eastAsia="hr-HR"/>
              </w:rPr>
              <w:t>Proračun 2025</w:t>
            </w:r>
          </w:p>
        </w:tc>
        <w:tc>
          <w:tcPr>
            <w:tcW w:w="4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7ADBE216" w14:textId="77777777" w:rsidR="00790C08" w:rsidRDefault="003A68BE" w:rsidP="003A68B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8BE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Izvršenje </w:t>
            </w:r>
          </w:p>
          <w:p w14:paraId="435DE627" w14:textId="7D45D3D1" w:rsidR="003A68BE" w:rsidRPr="003A68BE" w:rsidRDefault="003A68BE" w:rsidP="003A68B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8BE">
              <w:rPr>
                <w:rFonts w:ascii="Calibri" w:eastAsia="Times New Roman" w:hAnsi="Calibri" w:cs="Calibri"/>
                <w:color w:val="000000"/>
                <w:lang w:eastAsia="hr-HR"/>
              </w:rPr>
              <w:t>I-VI 2025.</w:t>
            </w:r>
          </w:p>
        </w:tc>
        <w:tc>
          <w:tcPr>
            <w:tcW w:w="47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0453482E" w14:textId="77777777" w:rsidR="003A68BE" w:rsidRPr="003A68BE" w:rsidRDefault="003A68BE" w:rsidP="003A68B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8BE">
              <w:rPr>
                <w:rFonts w:ascii="Calibri" w:eastAsia="Times New Roman" w:hAnsi="Calibri" w:cs="Calibri"/>
                <w:color w:val="000000"/>
                <w:lang w:eastAsia="hr-HR"/>
              </w:rPr>
              <w:t>Indeks (4/2*100)</w:t>
            </w:r>
          </w:p>
        </w:tc>
        <w:tc>
          <w:tcPr>
            <w:tcW w:w="46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0A04B04E" w14:textId="77777777" w:rsidR="003A68BE" w:rsidRPr="003A68BE" w:rsidRDefault="003A68BE" w:rsidP="003A68B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8BE">
              <w:rPr>
                <w:rFonts w:ascii="Calibri" w:eastAsia="Times New Roman" w:hAnsi="Calibri" w:cs="Calibri"/>
                <w:color w:val="000000"/>
                <w:lang w:eastAsia="hr-HR"/>
              </w:rPr>
              <w:t>Indeks (4/3*100)</w:t>
            </w:r>
          </w:p>
        </w:tc>
      </w:tr>
      <w:tr w:rsidR="003A68BE" w:rsidRPr="003A68BE" w14:paraId="795DD81E" w14:textId="77777777" w:rsidTr="003A68BE">
        <w:trPr>
          <w:trHeight w:val="227"/>
        </w:trPr>
        <w:tc>
          <w:tcPr>
            <w:tcW w:w="2574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7E6E6"/>
            <w:noWrap/>
            <w:vAlign w:val="center"/>
            <w:hideMark/>
          </w:tcPr>
          <w:p w14:paraId="36F331BE" w14:textId="77777777" w:rsidR="003A68BE" w:rsidRPr="003A68BE" w:rsidRDefault="003A68BE" w:rsidP="003A68B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8BE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vAlign w:val="center"/>
            <w:hideMark/>
          </w:tcPr>
          <w:p w14:paraId="2AC811A1" w14:textId="77777777" w:rsidR="003A68BE" w:rsidRPr="003A68BE" w:rsidRDefault="003A68BE" w:rsidP="003A68B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8BE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vAlign w:val="center"/>
            <w:hideMark/>
          </w:tcPr>
          <w:p w14:paraId="58590B87" w14:textId="77777777" w:rsidR="003A68BE" w:rsidRPr="003A68BE" w:rsidRDefault="003A68BE" w:rsidP="003A68B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8BE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vAlign w:val="center"/>
            <w:hideMark/>
          </w:tcPr>
          <w:p w14:paraId="6B1C232A" w14:textId="77777777" w:rsidR="003A68BE" w:rsidRPr="003A68BE" w:rsidRDefault="003A68BE" w:rsidP="003A68B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8BE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vAlign w:val="center"/>
            <w:hideMark/>
          </w:tcPr>
          <w:p w14:paraId="317DFC64" w14:textId="77777777" w:rsidR="003A68BE" w:rsidRPr="003A68BE" w:rsidRDefault="003A68BE" w:rsidP="003A68B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8BE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4948652A" w14:textId="77777777" w:rsidR="003A68BE" w:rsidRPr="003A68BE" w:rsidRDefault="003A68BE" w:rsidP="003A68BE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8BE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</w:tr>
      <w:tr w:rsidR="003A68BE" w:rsidRPr="003A68BE" w14:paraId="7491CF1E" w14:textId="77777777" w:rsidTr="003A68BE">
        <w:trPr>
          <w:trHeight w:val="227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038EB44" w14:textId="77777777" w:rsidR="003A68BE" w:rsidRPr="003A68BE" w:rsidRDefault="003A68BE" w:rsidP="003A68B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A68B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38</w:t>
            </w:r>
          </w:p>
        </w:tc>
        <w:tc>
          <w:tcPr>
            <w:tcW w:w="228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42A646A0" w14:textId="0CAD9F86" w:rsidR="003A68BE" w:rsidRPr="003A68BE" w:rsidRDefault="003A68BE" w:rsidP="003A68BE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bookmarkStart w:id="28" w:name="_Hlk208318308"/>
            <w:r w:rsidRPr="003A68B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Rashodi za donacije, kazne, naknade šteta i kap</w:t>
            </w:r>
            <w:r w:rsidR="00DE6F4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.</w:t>
            </w:r>
            <w:r w:rsidRPr="003A68B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pomoći</w:t>
            </w:r>
            <w:bookmarkEnd w:id="28"/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FF0476E" w14:textId="77777777" w:rsidR="003A68BE" w:rsidRPr="003A68BE" w:rsidRDefault="003A68BE" w:rsidP="003A68B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A68B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4.862,00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FF148F6" w14:textId="77777777" w:rsidR="003A68BE" w:rsidRPr="003A68BE" w:rsidRDefault="003A68BE" w:rsidP="003A68B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A68B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29.900,00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688E4E7" w14:textId="77777777" w:rsidR="003A68BE" w:rsidRPr="003A68BE" w:rsidRDefault="003A68BE" w:rsidP="003A68B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A68B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3.093,12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CC23C18" w14:textId="77777777" w:rsidR="003A68BE" w:rsidRPr="003A68BE" w:rsidRDefault="003A68BE" w:rsidP="003A68B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A68B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63,62%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2885E2D" w14:textId="77777777" w:rsidR="003A68BE" w:rsidRPr="003A68BE" w:rsidRDefault="003A68BE" w:rsidP="003A68B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3A68BE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10,34%</w:t>
            </w:r>
          </w:p>
        </w:tc>
      </w:tr>
      <w:tr w:rsidR="003A68BE" w:rsidRPr="003A68BE" w14:paraId="6D032BFF" w14:textId="77777777" w:rsidTr="003A68BE">
        <w:trPr>
          <w:trHeight w:val="227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8C3ABF6" w14:textId="77777777" w:rsidR="003A68BE" w:rsidRPr="003A68BE" w:rsidRDefault="003A68BE" w:rsidP="003A68B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8BE">
              <w:rPr>
                <w:rFonts w:ascii="Calibri" w:eastAsia="Times New Roman" w:hAnsi="Calibri" w:cs="Calibri"/>
                <w:color w:val="000000"/>
                <w:lang w:eastAsia="hr-HR"/>
              </w:rPr>
              <w:t>381</w:t>
            </w:r>
          </w:p>
        </w:tc>
        <w:tc>
          <w:tcPr>
            <w:tcW w:w="228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25A8ABCC" w14:textId="77777777" w:rsidR="003A68BE" w:rsidRPr="003A68BE" w:rsidRDefault="003A68BE" w:rsidP="003A68B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8BE">
              <w:rPr>
                <w:rFonts w:ascii="Calibri" w:eastAsia="Times New Roman" w:hAnsi="Calibri" w:cs="Calibri"/>
                <w:color w:val="000000"/>
                <w:lang w:eastAsia="hr-HR"/>
              </w:rPr>
              <w:t>Tekuće donacije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2D38A20" w14:textId="77777777" w:rsidR="003A68BE" w:rsidRPr="003A68BE" w:rsidRDefault="003A68BE" w:rsidP="003A68B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8BE">
              <w:rPr>
                <w:rFonts w:ascii="Calibri" w:eastAsia="Times New Roman" w:hAnsi="Calibri" w:cs="Calibri"/>
                <w:color w:val="000000"/>
                <w:lang w:eastAsia="hr-HR"/>
              </w:rPr>
              <w:t>4.862,00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866BF60" w14:textId="77777777" w:rsidR="003A68BE" w:rsidRPr="003A68BE" w:rsidRDefault="003A68BE" w:rsidP="003A68B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8B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8C87FDF" w14:textId="77777777" w:rsidR="003A68BE" w:rsidRPr="003A68BE" w:rsidRDefault="003A68BE" w:rsidP="003A68B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8BE">
              <w:rPr>
                <w:rFonts w:ascii="Calibri" w:eastAsia="Times New Roman" w:hAnsi="Calibri" w:cs="Calibri"/>
                <w:color w:val="000000"/>
                <w:lang w:eastAsia="hr-HR"/>
              </w:rPr>
              <w:t>3.093,12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EDE581D" w14:textId="77777777" w:rsidR="003A68BE" w:rsidRPr="003A68BE" w:rsidRDefault="003A68BE" w:rsidP="003A68B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8BE">
              <w:rPr>
                <w:rFonts w:ascii="Calibri" w:eastAsia="Times New Roman" w:hAnsi="Calibri" w:cs="Calibri"/>
                <w:color w:val="000000"/>
                <w:lang w:eastAsia="hr-HR"/>
              </w:rPr>
              <w:t>63,62%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2E74307" w14:textId="77777777" w:rsidR="003A68BE" w:rsidRPr="003A68BE" w:rsidRDefault="003A68BE" w:rsidP="003A68B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8B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3A68BE" w:rsidRPr="003A68BE" w14:paraId="4FEA4E6B" w14:textId="77777777" w:rsidTr="003A68BE">
        <w:trPr>
          <w:trHeight w:val="227"/>
        </w:trPr>
        <w:tc>
          <w:tcPr>
            <w:tcW w:w="2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DBBC847" w14:textId="77777777" w:rsidR="003A68BE" w:rsidRPr="003A68BE" w:rsidRDefault="003A68BE" w:rsidP="003A68B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8BE">
              <w:rPr>
                <w:rFonts w:ascii="Calibri" w:eastAsia="Times New Roman" w:hAnsi="Calibri" w:cs="Calibri"/>
                <w:color w:val="000000"/>
                <w:lang w:eastAsia="hr-HR"/>
              </w:rPr>
              <w:t>3811</w:t>
            </w:r>
          </w:p>
        </w:tc>
        <w:tc>
          <w:tcPr>
            <w:tcW w:w="2288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17FF2257" w14:textId="77777777" w:rsidR="003A68BE" w:rsidRPr="003A68BE" w:rsidRDefault="003A68BE" w:rsidP="003A68BE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8BE">
              <w:rPr>
                <w:rFonts w:ascii="Calibri" w:eastAsia="Times New Roman" w:hAnsi="Calibri" w:cs="Calibri"/>
                <w:color w:val="000000"/>
                <w:lang w:eastAsia="hr-HR"/>
              </w:rPr>
              <w:t>Tekuće donacije u novcu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1D50F37" w14:textId="77777777" w:rsidR="003A68BE" w:rsidRPr="003A68BE" w:rsidRDefault="003A68BE" w:rsidP="003A68B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8BE">
              <w:rPr>
                <w:rFonts w:ascii="Calibri" w:eastAsia="Times New Roman" w:hAnsi="Calibri" w:cs="Calibri"/>
                <w:color w:val="000000"/>
                <w:lang w:eastAsia="hr-HR"/>
              </w:rPr>
              <w:t>4.862,00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5B57FE1" w14:textId="77777777" w:rsidR="003A68BE" w:rsidRPr="003A68BE" w:rsidRDefault="003A68BE" w:rsidP="003A68B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8B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EF7BED8" w14:textId="77777777" w:rsidR="003A68BE" w:rsidRPr="003A68BE" w:rsidRDefault="003A68BE" w:rsidP="003A68B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8BE">
              <w:rPr>
                <w:rFonts w:ascii="Calibri" w:eastAsia="Times New Roman" w:hAnsi="Calibri" w:cs="Calibri"/>
                <w:color w:val="000000"/>
                <w:lang w:eastAsia="hr-HR"/>
              </w:rPr>
              <w:t>3.093,12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16131B8" w14:textId="77777777" w:rsidR="003A68BE" w:rsidRPr="003A68BE" w:rsidRDefault="003A68BE" w:rsidP="003A68B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8BE">
              <w:rPr>
                <w:rFonts w:ascii="Calibri" w:eastAsia="Times New Roman" w:hAnsi="Calibri" w:cs="Calibri"/>
                <w:color w:val="000000"/>
                <w:lang w:eastAsia="hr-HR"/>
              </w:rPr>
              <w:t>63,62%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8BD4419" w14:textId="77777777" w:rsidR="003A68BE" w:rsidRPr="003A68BE" w:rsidRDefault="003A68BE" w:rsidP="003A68BE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3A68BE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</w:tbl>
    <w:p w14:paraId="145F05F5" w14:textId="5A4CD2C8" w:rsidR="00DA1896" w:rsidRDefault="00ED1219" w:rsidP="00ED1219">
      <w:pPr>
        <w:spacing w:before="120" w:after="120" w:line="240" w:lineRule="auto"/>
        <w:jc w:val="both"/>
        <w:rPr>
          <w:rFonts w:cstheme="minorHAnsi"/>
          <w:sz w:val="22"/>
          <w:szCs w:val="22"/>
        </w:rPr>
      </w:pPr>
      <w:r w:rsidRPr="00000576">
        <w:rPr>
          <w:rFonts w:cstheme="minorHAnsi"/>
          <w:sz w:val="22"/>
          <w:szCs w:val="22"/>
        </w:rPr>
        <w:t>Tekućim donacijama se financira</w:t>
      </w:r>
      <w:r>
        <w:rPr>
          <w:rFonts w:cstheme="minorHAnsi"/>
          <w:sz w:val="22"/>
          <w:szCs w:val="22"/>
        </w:rPr>
        <w:t>ju</w:t>
      </w:r>
      <w:r w:rsidRPr="00000576">
        <w:rPr>
          <w:rFonts w:cstheme="minorHAnsi"/>
          <w:sz w:val="22"/>
          <w:szCs w:val="22"/>
        </w:rPr>
        <w:t xml:space="preserve"> javne </w:t>
      </w:r>
      <w:r>
        <w:rPr>
          <w:rFonts w:cstheme="minorHAnsi"/>
          <w:sz w:val="22"/>
          <w:szCs w:val="22"/>
        </w:rPr>
        <w:t>potrebe u kulturi i</w:t>
      </w:r>
      <w:r w:rsidRPr="00000576">
        <w:rPr>
          <w:rFonts w:cstheme="minorHAnsi"/>
          <w:sz w:val="22"/>
          <w:szCs w:val="22"/>
        </w:rPr>
        <w:t xml:space="preserve"> sportu, te rad humanitarnih, vjerskih, protupožarnih i ostalih udruga.</w:t>
      </w:r>
    </w:p>
    <w:p w14:paraId="46E5CB18" w14:textId="1895B98D" w:rsidR="009A018B" w:rsidRPr="002C7635" w:rsidRDefault="002C7635" w:rsidP="00165728">
      <w:pPr>
        <w:pStyle w:val="Naslov3"/>
        <w:numPr>
          <w:ilvl w:val="2"/>
          <w:numId w:val="4"/>
        </w:numPr>
        <w:spacing w:before="0" w:after="120"/>
        <w:ind w:left="504"/>
        <w:rPr>
          <w:b/>
          <w:sz w:val="22"/>
        </w:rPr>
      </w:pPr>
      <w:bookmarkStart w:id="29" w:name="_Toc209436508"/>
      <w:r w:rsidRPr="002C7635">
        <w:rPr>
          <w:b/>
          <w:caps w:val="0"/>
          <w:sz w:val="22"/>
        </w:rPr>
        <w:lastRenderedPageBreak/>
        <w:t xml:space="preserve">Rashodi za nabavu </w:t>
      </w:r>
      <w:proofErr w:type="spellStart"/>
      <w:r w:rsidRPr="002C7635">
        <w:rPr>
          <w:b/>
          <w:caps w:val="0"/>
          <w:sz w:val="22"/>
        </w:rPr>
        <w:t>neproizvedene</w:t>
      </w:r>
      <w:proofErr w:type="spellEnd"/>
      <w:r w:rsidRPr="002C7635">
        <w:rPr>
          <w:b/>
          <w:caps w:val="0"/>
          <w:sz w:val="22"/>
        </w:rPr>
        <w:t xml:space="preserve"> dugotrajne imovine</w:t>
      </w:r>
      <w:bookmarkEnd w:id="29"/>
    </w:p>
    <w:p w14:paraId="78AD2292" w14:textId="420CC3F1" w:rsidR="009A018B" w:rsidRDefault="009A018B" w:rsidP="00000576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790C08">
        <w:rPr>
          <w:rFonts w:cstheme="minorHAnsi"/>
          <w:sz w:val="22"/>
          <w:szCs w:val="22"/>
        </w:rPr>
        <w:t xml:space="preserve">Rashodi za nabavu </w:t>
      </w:r>
      <w:proofErr w:type="spellStart"/>
      <w:r w:rsidRPr="00790C08">
        <w:rPr>
          <w:rFonts w:cstheme="minorHAnsi"/>
          <w:sz w:val="22"/>
          <w:szCs w:val="22"/>
        </w:rPr>
        <w:t>neproizvedene</w:t>
      </w:r>
      <w:proofErr w:type="spellEnd"/>
      <w:r w:rsidRPr="00790C08">
        <w:rPr>
          <w:rFonts w:cstheme="minorHAnsi"/>
          <w:sz w:val="22"/>
          <w:szCs w:val="22"/>
        </w:rPr>
        <w:t xml:space="preserve"> dugotrajne imovine </w:t>
      </w:r>
      <w:r w:rsidR="00790C08">
        <w:rPr>
          <w:rFonts w:cstheme="minorHAnsi"/>
          <w:sz w:val="22"/>
          <w:szCs w:val="22"/>
        </w:rPr>
        <w:t xml:space="preserve">ostvareni su iznosu od 20.250,00 eura, čime je </w:t>
      </w:r>
      <w:proofErr w:type="spellStart"/>
      <w:r w:rsidR="00790C08">
        <w:rPr>
          <w:rFonts w:cstheme="minorHAnsi"/>
          <w:sz w:val="22"/>
          <w:szCs w:val="22"/>
        </w:rPr>
        <w:t>relizirano</w:t>
      </w:r>
      <w:proofErr w:type="spellEnd"/>
      <w:r w:rsidR="00790C08">
        <w:rPr>
          <w:rFonts w:cstheme="minorHAnsi"/>
          <w:sz w:val="22"/>
          <w:szCs w:val="22"/>
        </w:rPr>
        <w:t xml:space="preserve"> 18,41% Plana za 2025. godinu</w:t>
      </w:r>
      <w:r w:rsidR="00E83246" w:rsidRPr="00790C08">
        <w:rPr>
          <w:rFonts w:cstheme="minorHAnsi"/>
          <w:sz w:val="22"/>
          <w:szCs w:val="22"/>
        </w:rPr>
        <w:t xml:space="preserve">. 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3"/>
        <w:gridCol w:w="4831"/>
        <w:gridCol w:w="993"/>
        <w:gridCol w:w="1133"/>
        <w:gridCol w:w="993"/>
        <w:gridCol w:w="991"/>
        <w:gridCol w:w="962"/>
      </w:tblGrid>
      <w:tr w:rsidR="00790C08" w:rsidRPr="00790C08" w14:paraId="368BD16A" w14:textId="77777777" w:rsidTr="00790C08">
        <w:trPr>
          <w:trHeight w:val="227"/>
        </w:trPr>
        <w:tc>
          <w:tcPr>
            <w:tcW w:w="2574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5A0063F3" w14:textId="77777777" w:rsidR="00790C08" w:rsidRPr="00790C08" w:rsidRDefault="00790C08" w:rsidP="00790C0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0C08">
              <w:rPr>
                <w:rFonts w:ascii="Calibri" w:eastAsia="Times New Roman" w:hAnsi="Calibri" w:cs="Calibri"/>
                <w:color w:val="000000"/>
                <w:lang w:eastAsia="hr-HR"/>
              </w:rPr>
              <w:t>Brojčana oznaka i naziv računa</w:t>
            </w:r>
          </w:p>
        </w:tc>
        <w:tc>
          <w:tcPr>
            <w:tcW w:w="4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27010609" w14:textId="77777777" w:rsidR="00790C08" w:rsidRDefault="00790C08" w:rsidP="00790C0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0C08">
              <w:rPr>
                <w:rFonts w:ascii="Calibri" w:eastAsia="Times New Roman" w:hAnsi="Calibri" w:cs="Calibri"/>
                <w:color w:val="000000"/>
                <w:lang w:eastAsia="hr-HR"/>
              </w:rPr>
              <w:t>Izvršenje</w:t>
            </w:r>
          </w:p>
          <w:p w14:paraId="5C074AA0" w14:textId="45FA1B95" w:rsidR="00790C08" w:rsidRPr="00790C08" w:rsidRDefault="00790C08" w:rsidP="00790C0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0C08">
              <w:rPr>
                <w:rFonts w:ascii="Calibri" w:eastAsia="Times New Roman" w:hAnsi="Calibri" w:cs="Calibri"/>
                <w:color w:val="000000"/>
                <w:lang w:eastAsia="hr-HR"/>
              </w:rPr>
              <w:t>I-VI 2024.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1EC6C4CD" w14:textId="77777777" w:rsidR="00790C08" w:rsidRPr="00790C08" w:rsidRDefault="00790C08" w:rsidP="00790C0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0C08">
              <w:rPr>
                <w:rFonts w:ascii="Calibri" w:eastAsia="Times New Roman" w:hAnsi="Calibri" w:cs="Calibri"/>
                <w:color w:val="000000"/>
                <w:lang w:eastAsia="hr-HR"/>
              </w:rPr>
              <w:t>Proračun 2025</w:t>
            </w:r>
          </w:p>
        </w:tc>
        <w:tc>
          <w:tcPr>
            <w:tcW w:w="4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0E4DD522" w14:textId="77777777" w:rsidR="00790C08" w:rsidRDefault="00790C08" w:rsidP="00790C0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0C08">
              <w:rPr>
                <w:rFonts w:ascii="Calibri" w:eastAsia="Times New Roman" w:hAnsi="Calibri" w:cs="Calibri"/>
                <w:color w:val="000000"/>
                <w:lang w:eastAsia="hr-HR"/>
              </w:rPr>
              <w:t>Izvršenje</w:t>
            </w:r>
          </w:p>
          <w:p w14:paraId="4A78BCCC" w14:textId="64AE505C" w:rsidR="00790C08" w:rsidRPr="00790C08" w:rsidRDefault="00790C08" w:rsidP="00790C0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0C08">
              <w:rPr>
                <w:rFonts w:ascii="Calibri" w:eastAsia="Times New Roman" w:hAnsi="Calibri" w:cs="Calibri"/>
                <w:color w:val="000000"/>
                <w:lang w:eastAsia="hr-HR"/>
              </w:rPr>
              <w:t>I-VI 2025.</w:t>
            </w:r>
          </w:p>
        </w:tc>
        <w:tc>
          <w:tcPr>
            <w:tcW w:w="47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14EFAD29" w14:textId="77777777" w:rsidR="00790C08" w:rsidRPr="00790C08" w:rsidRDefault="00790C08" w:rsidP="00790C0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0C08">
              <w:rPr>
                <w:rFonts w:ascii="Calibri" w:eastAsia="Times New Roman" w:hAnsi="Calibri" w:cs="Calibri"/>
                <w:color w:val="000000"/>
                <w:lang w:eastAsia="hr-HR"/>
              </w:rPr>
              <w:t>Indeks (4/2*100)</w:t>
            </w:r>
          </w:p>
        </w:tc>
        <w:tc>
          <w:tcPr>
            <w:tcW w:w="46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49D2C992" w14:textId="77777777" w:rsidR="00790C08" w:rsidRPr="00790C08" w:rsidRDefault="00790C08" w:rsidP="00790C0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0C08">
              <w:rPr>
                <w:rFonts w:ascii="Calibri" w:eastAsia="Times New Roman" w:hAnsi="Calibri" w:cs="Calibri"/>
                <w:color w:val="000000"/>
                <w:lang w:eastAsia="hr-HR"/>
              </w:rPr>
              <w:t>Indeks (4/3*100)</w:t>
            </w:r>
          </w:p>
        </w:tc>
      </w:tr>
      <w:tr w:rsidR="00790C08" w:rsidRPr="00790C08" w14:paraId="097169DF" w14:textId="77777777" w:rsidTr="00790C08">
        <w:trPr>
          <w:trHeight w:val="227"/>
        </w:trPr>
        <w:tc>
          <w:tcPr>
            <w:tcW w:w="2574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7E6E6"/>
            <w:noWrap/>
            <w:vAlign w:val="center"/>
            <w:hideMark/>
          </w:tcPr>
          <w:p w14:paraId="2CED8E26" w14:textId="77777777" w:rsidR="00790C08" w:rsidRPr="00790C08" w:rsidRDefault="00790C08" w:rsidP="00790C0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0C08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vAlign w:val="center"/>
            <w:hideMark/>
          </w:tcPr>
          <w:p w14:paraId="30731BF3" w14:textId="77777777" w:rsidR="00790C08" w:rsidRPr="00790C08" w:rsidRDefault="00790C08" w:rsidP="00790C0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0C08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vAlign w:val="center"/>
            <w:hideMark/>
          </w:tcPr>
          <w:p w14:paraId="4B041271" w14:textId="77777777" w:rsidR="00790C08" w:rsidRPr="00790C08" w:rsidRDefault="00790C08" w:rsidP="00790C0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0C08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vAlign w:val="center"/>
            <w:hideMark/>
          </w:tcPr>
          <w:p w14:paraId="764458BB" w14:textId="77777777" w:rsidR="00790C08" w:rsidRPr="00790C08" w:rsidRDefault="00790C08" w:rsidP="00790C0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0C08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vAlign w:val="center"/>
            <w:hideMark/>
          </w:tcPr>
          <w:p w14:paraId="370CFC6A" w14:textId="77777777" w:rsidR="00790C08" w:rsidRPr="00790C08" w:rsidRDefault="00790C08" w:rsidP="00790C0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0C08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083C395D" w14:textId="77777777" w:rsidR="00790C08" w:rsidRPr="00790C08" w:rsidRDefault="00790C08" w:rsidP="00790C08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0C08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</w:tr>
      <w:tr w:rsidR="00790C08" w:rsidRPr="00790C08" w14:paraId="1F3CCB59" w14:textId="77777777" w:rsidTr="00790C08">
        <w:trPr>
          <w:trHeight w:val="227"/>
        </w:trPr>
        <w:tc>
          <w:tcPr>
            <w:tcW w:w="2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EF7559E" w14:textId="77777777" w:rsidR="00790C08" w:rsidRPr="00790C08" w:rsidRDefault="00790C08" w:rsidP="00790C0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90C0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41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519C84C9" w14:textId="77777777" w:rsidR="00790C08" w:rsidRPr="00790C08" w:rsidRDefault="00790C08" w:rsidP="00790C08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90C0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Rashodi za nabavu </w:t>
            </w:r>
            <w:proofErr w:type="spellStart"/>
            <w:r w:rsidRPr="00790C0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neproizvedene</w:t>
            </w:r>
            <w:proofErr w:type="spellEnd"/>
            <w:r w:rsidRPr="00790C0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 xml:space="preserve"> dugotrajne imovine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C9EEC8E" w14:textId="77777777" w:rsidR="00790C08" w:rsidRPr="00790C08" w:rsidRDefault="00790C08" w:rsidP="00790C0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90C0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7E6061C" w14:textId="77777777" w:rsidR="00790C08" w:rsidRPr="00790C08" w:rsidRDefault="00790C08" w:rsidP="00790C0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90C0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110.000,00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E854A32" w14:textId="77777777" w:rsidR="00790C08" w:rsidRPr="00790C08" w:rsidRDefault="00790C08" w:rsidP="00790C0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90C0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20.250,00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A7C3AE6" w14:textId="77777777" w:rsidR="00790C08" w:rsidRPr="00790C08" w:rsidRDefault="00790C08" w:rsidP="00790C0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90C0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0,00%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AEC887C" w14:textId="77777777" w:rsidR="00790C08" w:rsidRPr="00790C08" w:rsidRDefault="00790C08" w:rsidP="00790C0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90C0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18,41%</w:t>
            </w:r>
          </w:p>
        </w:tc>
      </w:tr>
      <w:tr w:rsidR="00790C08" w:rsidRPr="00790C08" w14:paraId="3B0C773A" w14:textId="77777777" w:rsidTr="00790C08">
        <w:trPr>
          <w:trHeight w:val="227"/>
        </w:trPr>
        <w:tc>
          <w:tcPr>
            <w:tcW w:w="2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A51E80D" w14:textId="77777777" w:rsidR="00790C08" w:rsidRPr="00790C08" w:rsidRDefault="00790C08" w:rsidP="00790C0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0C08">
              <w:rPr>
                <w:rFonts w:ascii="Calibri" w:eastAsia="Times New Roman" w:hAnsi="Calibri" w:cs="Calibri"/>
                <w:color w:val="000000"/>
                <w:lang w:eastAsia="hr-HR"/>
              </w:rPr>
              <w:t>411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334028F1" w14:textId="77777777" w:rsidR="00790C08" w:rsidRPr="00790C08" w:rsidRDefault="00790C08" w:rsidP="00790C0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0C08">
              <w:rPr>
                <w:rFonts w:ascii="Calibri" w:eastAsia="Times New Roman" w:hAnsi="Calibri" w:cs="Calibri"/>
                <w:color w:val="000000"/>
                <w:lang w:eastAsia="hr-HR"/>
              </w:rPr>
              <w:t>Materijalna imovina – prirodna bogatstva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F6F86E2" w14:textId="77777777" w:rsidR="00790C08" w:rsidRPr="00790C08" w:rsidRDefault="00790C08" w:rsidP="00790C0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0C08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4966412" w14:textId="77777777" w:rsidR="00790C08" w:rsidRPr="00790C08" w:rsidRDefault="00790C08" w:rsidP="00790C0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0C0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889C376" w14:textId="77777777" w:rsidR="00790C08" w:rsidRPr="00790C08" w:rsidRDefault="00790C08" w:rsidP="00790C0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0C08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81C2CD5" w14:textId="77777777" w:rsidR="00790C08" w:rsidRPr="00790C08" w:rsidRDefault="00790C08" w:rsidP="00790C0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0C08">
              <w:rPr>
                <w:rFonts w:ascii="Calibri" w:eastAsia="Times New Roman" w:hAnsi="Calibri" w:cs="Calibri"/>
                <w:color w:val="000000"/>
                <w:lang w:eastAsia="hr-HR"/>
              </w:rPr>
              <w:t>0,00%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BF0AC3D" w14:textId="77777777" w:rsidR="00790C08" w:rsidRPr="00790C08" w:rsidRDefault="00790C08" w:rsidP="00790C0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0C0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90C08" w:rsidRPr="00790C08" w14:paraId="03071F47" w14:textId="77777777" w:rsidTr="00790C08">
        <w:trPr>
          <w:trHeight w:val="227"/>
        </w:trPr>
        <w:tc>
          <w:tcPr>
            <w:tcW w:w="2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846C874" w14:textId="77777777" w:rsidR="00790C08" w:rsidRPr="00790C08" w:rsidRDefault="00790C08" w:rsidP="00790C0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0C08">
              <w:rPr>
                <w:rFonts w:ascii="Calibri" w:eastAsia="Times New Roman" w:hAnsi="Calibri" w:cs="Calibri"/>
                <w:color w:val="000000"/>
                <w:lang w:eastAsia="hr-HR"/>
              </w:rPr>
              <w:t>4111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7E8508EA" w14:textId="77777777" w:rsidR="00790C08" w:rsidRPr="00790C08" w:rsidRDefault="00790C08" w:rsidP="00790C0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0C08">
              <w:rPr>
                <w:rFonts w:ascii="Calibri" w:eastAsia="Times New Roman" w:hAnsi="Calibri" w:cs="Calibri"/>
                <w:color w:val="000000"/>
                <w:lang w:eastAsia="hr-HR"/>
              </w:rPr>
              <w:t>Zemljište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0B40619" w14:textId="77777777" w:rsidR="00790C08" w:rsidRPr="00790C08" w:rsidRDefault="00790C08" w:rsidP="00790C0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0C08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55AC81F" w14:textId="77777777" w:rsidR="00790C08" w:rsidRPr="00790C08" w:rsidRDefault="00790C08" w:rsidP="00790C0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0C0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6BC1B57" w14:textId="77777777" w:rsidR="00790C08" w:rsidRPr="00790C08" w:rsidRDefault="00790C08" w:rsidP="00790C0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0C08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971966D" w14:textId="77777777" w:rsidR="00790C08" w:rsidRPr="00790C08" w:rsidRDefault="00790C08" w:rsidP="00790C0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0C08">
              <w:rPr>
                <w:rFonts w:ascii="Calibri" w:eastAsia="Times New Roman" w:hAnsi="Calibri" w:cs="Calibri"/>
                <w:color w:val="000000"/>
                <w:lang w:eastAsia="hr-HR"/>
              </w:rPr>
              <w:t>0,00%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5A48174" w14:textId="77777777" w:rsidR="00790C08" w:rsidRPr="00790C08" w:rsidRDefault="00790C08" w:rsidP="00790C0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0C0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90C08" w:rsidRPr="00790C08" w14:paraId="37F5E593" w14:textId="77777777" w:rsidTr="00790C08">
        <w:trPr>
          <w:trHeight w:val="227"/>
        </w:trPr>
        <w:tc>
          <w:tcPr>
            <w:tcW w:w="2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3479BFE" w14:textId="77777777" w:rsidR="00790C08" w:rsidRPr="00790C08" w:rsidRDefault="00790C08" w:rsidP="00790C0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0C08">
              <w:rPr>
                <w:rFonts w:ascii="Calibri" w:eastAsia="Times New Roman" w:hAnsi="Calibri" w:cs="Calibri"/>
                <w:color w:val="000000"/>
                <w:lang w:eastAsia="hr-HR"/>
              </w:rPr>
              <w:t>412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2D3837C4" w14:textId="77777777" w:rsidR="00790C08" w:rsidRPr="00790C08" w:rsidRDefault="00790C08" w:rsidP="00790C0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0C08">
              <w:rPr>
                <w:rFonts w:ascii="Calibri" w:eastAsia="Times New Roman" w:hAnsi="Calibri" w:cs="Calibri"/>
                <w:color w:val="000000"/>
                <w:lang w:eastAsia="hr-HR"/>
              </w:rPr>
              <w:t>Nematerijalna imovina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0C03889" w14:textId="77777777" w:rsidR="00790C08" w:rsidRPr="00790C08" w:rsidRDefault="00790C08" w:rsidP="00790C0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0C08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945D3E8" w14:textId="77777777" w:rsidR="00790C08" w:rsidRPr="00790C08" w:rsidRDefault="00790C08" w:rsidP="00790C0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0C0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6DF59F4" w14:textId="77777777" w:rsidR="00790C08" w:rsidRPr="00790C08" w:rsidRDefault="00790C08" w:rsidP="00790C0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0C08">
              <w:rPr>
                <w:rFonts w:ascii="Calibri" w:eastAsia="Times New Roman" w:hAnsi="Calibri" w:cs="Calibri"/>
                <w:color w:val="000000"/>
                <w:lang w:eastAsia="hr-HR"/>
              </w:rPr>
              <w:t>20.250,00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18AA3FC" w14:textId="77777777" w:rsidR="00790C08" w:rsidRPr="00790C08" w:rsidRDefault="00790C08" w:rsidP="00790C0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0C08">
              <w:rPr>
                <w:rFonts w:ascii="Calibri" w:eastAsia="Times New Roman" w:hAnsi="Calibri" w:cs="Calibri"/>
                <w:color w:val="000000"/>
                <w:lang w:eastAsia="hr-HR"/>
              </w:rPr>
              <w:t>0,00%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0EC1B2D2" w14:textId="77777777" w:rsidR="00790C08" w:rsidRPr="00790C08" w:rsidRDefault="00790C08" w:rsidP="00790C0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0C0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790C08" w:rsidRPr="00790C08" w14:paraId="345CB359" w14:textId="77777777" w:rsidTr="00790C08">
        <w:trPr>
          <w:trHeight w:val="227"/>
        </w:trPr>
        <w:tc>
          <w:tcPr>
            <w:tcW w:w="2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F751696" w14:textId="77777777" w:rsidR="00790C08" w:rsidRPr="00790C08" w:rsidRDefault="00790C08" w:rsidP="00790C0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0C08">
              <w:rPr>
                <w:rFonts w:ascii="Calibri" w:eastAsia="Times New Roman" w:hAnsi="Calibri" w:cs="Calibri"/>
                <w:color w:val="000000"/>
                <w:lang w:eastAsia="hr-HR"/>
              </w:rPr>
              <w:t>4126</w:t>
            </w:r>
          </w:p>
        </w:tc>
        <w:tc>
          <w:tcPr>
            <w:tcW w:w="230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79F05EB1" w14:textId="77777777" w:rsidR="00790C08" w:rsidRPr="00790C08" w:rsidRDefault="00790C08" w:rsidP="00790C08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0C08">
              <w:rPr>
                <w:rFonts w:ascii="Calibri" w:eastAsia="Times New Roman" w:hAnsi="Calibri" w:cs="Calibri"/>
                <w:color w:val="000000"/>
                <w:lang w:eastAsia="hr-HR"/>
              </w:rPr>
              <w:t>Ostala nematerijalna imovina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56DA337" w14:textId="77777777" w:rsidR="00790C08" w:rsidRPr="00790C08" w:rsidRDefault="00790C08" w:rsidP="00790C0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0C08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A1B32A6" w14:textId="77777777" w:rsidR="00790C08" w:rsidRPr="00790C08" w:rsidRDefault="00790C08" w:rsidP="00790C0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0C0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072D096" w14:textId="77777777" w:rsidR="00790C08" w:rsidRPr="00790C08" w:rsidRDefault="00790C08" w:rsidP="00790C0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0C08">
              <w:rPr>
                <w:rFonts w:ascii="Calibri" w:eastAsia="Times New Roman" w:hAnsi="Calibri" w:cs="Calibri"/>
                <w:color w:val="000000"/>
                <w:lang w:eastAsia="hr-HR"/>
              </w:rPr>
              <w:t>20.250,00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FB8F2DD" w14:textId="77777777" w:rsidR="00790C08" w:rsidRPr="00790C08" w:rsidRDefault="00790C08" w:rsidP="00790C0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0C08">
              <w:rPr>
                <w:rFonts w:ascii="Calibri" w:eastAsia="Times New Roman" w:hAnsi="Calibri" w:cs="Calibri"/>
                <w:color w:val="000000"/>
                <w:lang w:eastAsia="hr-HR"/>
              </w:rPr>
              <w:t>0,00%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54A0989" w14:textId="77777777" w:rsidR="00790C08" w:rsidRPr="00790C08" w:rsidRDefault="00790C08" w:rsidP="00790C08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790C08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</w:tbl>
    <w:p w14:paraId="19387E72" w14:textId="2445A79B" w:rsidR="00790C08" w:rsidRDefault="00790C08" w:rsidP="00A9243A">
      <w:pPr>
        <w:spacing w:before="120" w:after="120" w:line="24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Planirana ulaganja u </w:t>
      </w:r>
      <w:r w:rsidR="00A9243A">
        <w:rPr>
          <w:rFonts w:cstheme="minorHAnsi"/>
          <w:sz w:val="22"/>
          <w:szCs w:val="22"/>
        </w:rPr>
        <w:t>građevinsko zemljište nisu realizirana u promatranom razdoblju, a ulaganja u nematerijalnu imovinu se odnose na izradu Plana rasvjete i Akcijskog plana rekonstrukcije javne rasvjete, te pripremu projektne dokumentacije za izgradnju dječjeg vrtića i poslovne zgrade.</w:t>
      </w:r>
    </w:p>
    <w:p w14:paraId="63C1F9E7" w14:textId="77777777" w:rsidR="00EF5E3E" w:rsidRPr="00000576" w:rsidRDefault="00EF5E3E" w:rsidP="006C052C">
      <w:pPr>
        <w:spacing w:before="120" w:after="120" w:line="240" w:lineRule="auto"/>
        <w:jc w:val="both"/>
        <w:rPr>
          <w:rFonts w:cstheme="minorHAnsi"/>
          <w:sz w:val="22"/>
          <w:szCs w:val="22"/>
        </w:rPr>
      </w:pPr>
    </w:p>
    <w:p w14:paraId="1942F6C4" w14:textId="2149BB94" w:rsidR="004F457C" w:rsidRPr="002C7635" w:rsidRDefault="002C7635" w:rsidP="00165728">
      <w:pPr>
        <w:pStyle w:val="Naslov3"/>
        <w:numPr>
          <w:ilvl w:val="2"/>
          <w:numId w:val="4"/>
        </w:numPr>
        <w:spacing w:before="0" w:after="120"/>
        <w:ind w:left="561"/>
        <w:rPr>
          <w:b/>
          <w:sz w:val="22"/>
        </w:rPr>
      </w:pPr>
      <w:bookmarkStart w:id="30" w:name="_Toc209436509"/>
      <w:r w:rsidRPr="002C7635">
        <w:rPr>
          <w:b/>
          <w:caps w:val="0"/>
          <w:sz w:val="22"/>
        </w:rPr>
        <w:t>Rashodi za nabavu proizvedene dugotrajne imovine</w:t>
      </w:r>
      <w:bookmarkEnd w:id="30"/>
    </w:p>
    <w:p w14:paraId="2C04516A" w14:textId="6B34EC35" w:rsidR="00784033" w:rsidRDefault="004F457C" w:rsidP="00000576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000576">
        <w:rPr>
          <w:rFonts w:cstheme="minorHAnsi"/>
          <w:sz w:val="22"/>
          <w:szCs w:val="22"/>
        </w:rPr>
        <w:t>Rashodi za nabavu proizvedene dugotrajne imovine ostvareni su u iznosu od</w:t>
      </w:r>
      <w:r w:rsidR="00EF5E3E">
        <w:rPr>
          <w:rFonts w:cstheme="minorHAnsi"/>
          <w:sz w:val="22"/>
          <w:szCs w:val="22"/>
        </w:rPr>
        <w:t xml:space="preserve"> </w:t>
      </w:r>
      <w:r w:rsidR="00A9243A" w:rsidRPr="00A9243A">
        <w:rPr>
          <w:rFonts w:cstheme="minorHAnsi"/>
          <w:sz w:val="22"/>
          <w:szCs w:val="22"/>
        </w:rPr>
        <w:t>36.780,85</w:t>
      </w:r>
      <w:r w:rsidR="008101CD">
        <w:rPr>
          <w:rFonts w:cstheme="minorHAnsi"/>
          <w:sz w:val="22"/>
          <w:szCs w:val="22"/>
        </w:rPr>
        <w:t xml:space="preserve"> eura</w:t>
      </w:r>
      <w:r w:rsidRPr="00000576">
        <w:rPr>
          <w:rFonts w:cstheme="minorHAnsi"/>
          <w:sz w:val="22"/>
          <w:szCs w:val="22"/>
        </w:rPr>
        <w:t xml:space="preserve">, a odnose se na izgradnju  objekata komunalne </w:t>
      </w:r>
      <w:r w:rsidR="00784033">
        <w:rPr>
          <w:rFonts w:cstheme="minorHAnsi"/>
          <w:sz w:val="22"/>
          <w:szCs w:val="22"/>
        </w:rPr>
        <w:t xml:space="preserve">i društvene </w:t>
      </w:r>
      <w:r w:rsidRPr="00000576">
        <w:rPr>
          <w:rFonts w:cstheme="minorHAnsi"/>
          <w:sz w:val="22"/>
          <w:szCs w:val="22"/>
        </w:rPr>
        <w:t>infrastrukture</w:t>
      </w:r>
      <w:r w:rsidR="003B3C82">
        <w:rPr>
          <w:rFonts w:cstheme="minorHAnsi"/>
          <w:sz w:val="22"/>
          <w:szCs w:val="22"/>
        </w:rPr>
        <w:t xml:space="preserve">, te </w:t>
      </w:r>
      <w:r w:rsidR="00A9243A">
        <w:rPr>
          <w:rFonts w:cstheme="minorHAnsi"/>
          <w:sz w:val="22"/>
          <w:szCs w:val="22"/>
        </w:rPr>
        <w:t>imovinsku pripremu za kapitalne projekte</w:t>
      </w:r>
      <w:r w:rsidR="003B3C82">
        <w:rPr>
          <w:rFonts w:cstheme="minorHAnsi"/>
          <w:sz w:val="22"/>
          <w:szCs w:val="22"/>
        </w:rPr>
        <w:t>.</w:t>
      </w:r>
    </w:p>
    <w:p w14:paraId="089FC5A0" w14:textId="7FD8B10D" w:rsidR="00FE1252" w:rsidRDefault="00FE1252" w:rsidP="00000576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000576">
        <w:rPr>
          <w:rFonts w:cstheme="minorHAnsi"/>
          <w:sz w:val="22"/>
          <w:szCs w:val="22"/>
        </w:rPr>
        <w:t xml:space="preserve">Po ovoj stavci </w:t>
      </w:r>
      <w:r w:rsidR="002C4342" w:rsidRPr="00000576">
        <w:rPr>
          <w:rFonts w:cstheme="minorHAnsi"/>
          <w:sz w:val="22"/>
          <w:szCs w:val="22"/>
        </w:rPr>
        <w:t>realizirano je</w:t>
      </w:r>
      <w:r w:rsidRPr="00000576">
        <w:rPr>
          <w:rFonts w:cstheme="minorHAnsi"/>
          <w:sz w:val="22"/>
          <w:szCs w:val="22"/>
        </w:rPr>
        <w:t xml:space="preserve"> </w:t>
      </w:r>
      <w:r w:rsidR="00A9243A">
        <w:rPr>
          <w:rFonts w:cstheme="minorHAnsi"/>
          <w:sz w:val="22"/>
          <w:szCs w:val="22"/>
        </w:rPr>
        <w:t>4,37</w:t>
      </w:r>
      <w:r w:rsidRPr="00000576">
        <w:rPr>
          <w:rFonts w:cstheme="minorHAnsi"/>
          <w:sz w:val="22"/>
          <w:szCs w:val="22"/>
        </w:rPr>
        <w:t xml:space="preserve">% </w:t>
      </w:r>
      <w:r w:rsidR="003B3C82">
        <w:rPr>
          <w:rFonts w:cstheme="minorHAnsi"/>
          <w:sz w:val="22"/>
          <w:szCs w:val="22"/>
        </w:rPr>
        <w:t>Plana za 202</w:t>
      </w:r>
      <w:r w:rsidR="00A9243A">
        <w:rPr>
          <w:rFonts w:cstheme="minorHAnsi"/>
          <w:sz w:val="22"/>
          <w:szCs w:val="22"/>
        </w:rPr>
        <w:t>5</w:t>
      </w:r>
      <w:r w:rsidR="003B3C82">
        <w:rPr>
          <w:rFonts w:cstheme="minorHAnsi"/>
          <w:sz w:val="22"/>
          <w:szCs w:val="22"/>
        </w:rPr>
        <w:t>. godinu.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3"/>
        <w:gridCol w:w="4789"/>
        <w:gridCol w:w="1035"/>
        <w:gridCol w:w="1133"/>
        <w:gridCol w:w="993"/>
        <w:gridCol w:w="991"/>
        <w:gridCol w:w="962"/>
      </w:tblGrid>
      <w:tr w:rsidR="00A9243A" w:rsidRPr="00A9243A" w14:paraId="32D18D1E" w14:textId="77777777" w:rsidTr="00A9243A">
        <w:trPr>
          <w:trHeight w:val="227"/>
        </w:trPr>
        <w:tc>
          <w:tcPr>
            <w:tcW w:w="2554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BED3B29" w14:textId="77777777" w:rsidR="00A9243A" w:rsidRPr="00A9243A" w:rsidRDefault="00A9243A" w:rsidP="00A9243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Brojčana oznaka i naziv računa</w:t>
            </w:r>
          </w:p>
        </w:tc>
        <w:tc>
          <w:tcPr>
            <w:tcW w:w="49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3BF827BE" w14:textId="77777777" w:rsidR="00A9243A" w:rsidRDefault="00A9243A" w:rsidP="00A9243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Izvršenje </w:t>
            </w:r>
          </w:p>
          <w:p w14:paraId="070388A4" w14:textId="752C34F2" w:rsidR="00A9243A" w:rsidRPr="00A9243A" w:rsidRDefault="00A9243A" w:rsidP="00A9243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I-VI 2024.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2D9D9F9F" w14:textId="77777777" w:rsidR="00A9243A" w:rsidRPr="00A9243A" w:rsidRDefault="00A9243A" w:rsidP="00A9243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Proračun 2025</w:t>
            </w:r>
          </w:p>
        </w:tc>
        <w:tc>
          <w:tcPr>
            <w:tcW w:w="4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2626B6F5" w14:textId="77777777" w:rsidR="00A9243A" w:rsidRDefault="00A9243A" w:rsidP="00A9243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Izvršenje</w:t>
            </w:r>
          </w:p>
          <w:p w14:paraId="13015867" w14:textId="7E51E0B7" w:rsidR="00A9243A" w:rsidRPr="00A9243A" w:rsidRDefault="00A9243A" w:rsidP="00A9243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I-VI 2025.</w:t>
            </w:r>
          </w:p>
        </w:tc>
        <w:tc>
          <w:tcPr>
            <w:tcW w:w="47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35A91F64" w14:textId="77777777" w:rsidR="00A9243A" w:rsidRPr="00A9243A" w:rsidRDefault="00A9243A" w:rsidP="00A9243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Indeks (4/2*100)</w:t>
            </w:r>
          </w:p>
        </w:tc>
        <w:tc>
          <w:tcPr>
            <w:tcW w:w="46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34260D1B" w14:textId="77777777" w:rsidR="00A9243A" w:rsidRPr="00A9243A" w:rsidRDefault="00A9243A" w:rsidP="00A9243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Indeks (4/3*100)</w:t>
            </w:r>
          </w:p>
        </w:tc>
      </w:tr>
      <w:tr w:rsidR="00A9243A" w:rsidRPr="00A9243A" w14:paraId="01C35B05" w14:textId="77777777" w:rsidTr="00A9243A">
        <w:trPr>
          <w:trHeight w:val="227"/>
        </w:trPr>
        <w:tc>
          <w:tcPr>
            <w:tcW w:w="2554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7E6E6"/>
            <w:noWrap/>
            <w:vAlign w:val="center"/>
            <w:hideMark/>
          </w:tcPr>
          <w:p w14:paraId="2C1F763E" w14:textId="77777777" w:rsidR="00A9243A" w:rsidRPr="00A9243A" w:rsidRDefault="00A9243A" w:rsidP="00A9243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vAlign w:val="center"/>
            <w:hideMark/>
          </w:tcPr>
          <w:p w14:paraId="4E07E0CB" w14:textId="77777777" w:rsidR="00A9243A" w:rsidRPr="00A9243A" w:rsidRDefault="00A9243A" w:rsidP="00A9243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vAlign w:val="center"/>
            <w:hideMark/>
          </w:tcPr>
          <w:p w14:paraId="1F47B566" w14:textId="77777777" w:rsidR="00A9243A" w:rsidRPr="00A9243A" w:rsidRDefault="00A9243A" w:rsidP="00A9243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vAlign w:val="center"/>
            <w:hideMark/>
          </w:tcPr>
          <w:p w14:paraId="1D06C1E1" w14:textId="77777777" w:rsidR="00A9243A" w:rsidRPr="00A9243A" w:rsidRDefault="00A9243A" w:rsidP="00A9243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vAlign w:val="center"/>
            <w:hideMark/>
          </w:tcPr>
          <w:p w14:paraId="27489494" w14:textId="77777777" w:rsidR="00A9243A" w:rsidRPr="00A9243A" w:rsidRDefault="00A9243A" w:rsidP="00A9243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2678C251" w14:textId="77777777" w:rsidR="00A9243A" w:rsidRPr="00A9243A" w:rsidRDefault="00A9243A" w:rsidP="00A9243A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</w:tr>
      <w:tr w:rsidR="00A9243A" w:rsidRPr="00A9243A" w14:paraId="2856874C" w14:textId="77777777" w:rsidTr="00A9243A">
        <w:trPr>
          <w:trHeight w:val="227"/>
        </w:trPr>
        <w:tc>
          <w:tcPr>
            <w:tcW w:w="2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E878E22" w14:textId="77777777" w:rsidR="00A9243A" w:rsidRPr="00A9243A" w:rsidRDefault="00A9243A" w:rsidP="00A924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42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164747C" w14:textId="77777777" w:rsidR="00A9243A" w:rsidRPr="00A9243A" w:rsidRDefault="00A9243A" w:rsidP="00A9243A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Rashodi za nabavu proizvedene dugotrajne imovine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5D5AA7D" w14:textId="77777777" w:rsidR="00A9243A" w:rsidRPr="00A9243A" w:rsidRDefault="00A9243A" w:rsidP="00A924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162.562,78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0FA578C" w14:textId="77777777" w:rsidR="00A9243A" w:rsidRPr="00A9243A" w:rsidRDefault="00A9243A" w:rsidP="00A924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842.500,00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EFD8367" w14:textId="77777777" w:rsidR="00A9243A" w:rsidRPr="00A9243A" w:rsidRDefault="00A9243A" w:rsidP="00A924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36.780,85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EA6F5AF" w14:textId="77777777" w:rsidR="00A9243A" w:rsidRPr="00A9243A" w:rsidRDefault="00A9243A" w:rsidP="00A924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22,63%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62C30BC" w14:textId="77777777" w:rsidR="00A9243A" w:rsidRPr="00A9243A" w:rsidRDefault="00A9243A" w:rsidP="00A924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4,37%</w:t>
            </w:r>
          </w:p>
        </w:tc>
      </w:tr>
      <w:tr w:rsidR="00A9243A" w:rsidRPr="00A9243A" w14:paraId="5A5D2823" w14:textId="77777777" w:rsidTr="00A9243A">
        <w:trPr>
          <w:trHeight w:val="227"/>
        </w:trPr>
        <w:tc>
          <w:tcPr>
            <w:tcW w:w="2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A9130C6" w14:textId="77777777" w:rsidR="00A9243A" w:rsidRPr="00A9243A" w:rsidRDefault="00A9243A" w:rsidP="00A924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421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4F08DE51" w14:textId="77777777" w:rsidR="00A9243A" w:rsidRPr="00A9243A" w:rsidRDefault="00A9243A" w:rsidP="00A9243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Građevinski objekti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245A0B8" w14:textId="77777777" w:rsidR="00A9243A" w:rsidRPr="00A9243A" w:rsidRDefault="00A9243A" w:rsidP="00A924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151.623,26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4337DC5" w14:textId="77777777" w:rsidR="00A9243A" w:rsidRPr="00A9243A" w:rsidRDefault="00A9243A" w:rsidP="00A924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66CE0FC" w14:textId="77777777" w:rsidR="00A9243A" w:rsidRPr="00A9243A" w:rsidRDefault="00A9243A" w:rsidP="00A924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36.780,85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9FFE509" w14:textId="77777777" w:rsidR="00A9243A" w:rsidRPr="00A9243A" w:rsidRDefault="00A9243A" w:rsidP="00A924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24,26%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9025AAB" w14:textId="77777777" w:rsidR="00A9243A" w:rsidRPr="00A9243A" w:rsidRDefault="00A9243A" w:rsidP="00A924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9243A" w:rsidRPr="00A9243A" w14:paraId="17BF3273" w14:textId="77777777" w:rsidTr="00A9243A">
        <w:trPr>
          <w:trHeight w:val="227"/>
        </w:trPr>
        <w:tc>
          <w:tcPr>
            <w:tcW w:w="2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2D9B4A3" w14:textId="77777777" w:rsidR="00A9243A" w:rsidRPr="00A9243A" w:rsidRDefault="00A9243A" w:rsidP="00A924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4211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34F39699" w14:textId="77777777" w:rsidR="00A9243A" w:rsidRPr="00A9243A" w:rsidRDefault="00A9243A" w:rsidP="00A9243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Stambeni objekti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FE54D0F" w14:textId="77777777" w:rsidR="00A9243A" w:rsidRPr="00A9243A" w:rsidRDefault="00A9243A" w:rsidP="00A924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ACA44B8" w14:textId="77777777" w:rsidR="00A9243A" w:rsidRPr="00A9243A" w:rsidRDefault="00A9243A" w:rsidP="00A924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CBAFB84" w14:textId="77777777" w:rsidR="00A9243A" w:rsidRPr="00A9243A" w:rsidRDefault="00A9243A" w:rsidP="00A924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3.894,34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C4FEB65" w14:textId="77777777" w:rsidR="00A9243A" w:rsidRPr="00A9243A" w:rsidRDefault="00A9243A" w:rsidP="00A924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0,00%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1063F81" w14:textId="77777777" w:rsidR="00A9243A" w:rsidRPr="00A9243A" w:rsidRDefault="00A9243A" w:rsidP="00A924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9243A" w:rsidRPr="00A9243A" w14:paraId="12D41A7A" w14:textId="77777777" w:rsidTr="00A9243A">
        <w:trPr>
          <w:trHeight w:val="227"/>
        </w:trPr>
        <w:tc>
          <w:tcPr>
            <w:tcW w:w="2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CFF1F8D" w14:textId="77777777" w:rsidR="00A9243A" w:rsidRPr="00A9243A" w:rsidRDefault="00A9243A" w:rsidP="00A924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4212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026A196D" w14:textId="77777777" w:rsidR="00A9243A" w:rsidRPr="00A9243A" w:rsidRDefault="00A9243A" w:rsidP="00A9243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Poslovni objekti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B5E1CBA" w14:textId="77777777" w:rsidR="00A9243A" w:rsidRPr="00A9243A" w:rsidRDefault="00A9243A" w:rsidP="00A924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91.923,07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480D2E8" w14:textId="77777777" w:rsidR="00A9243A" w:rsidRPr="00A9243A" w:rsidRDefault="00A9243A" w:rsidP="00A924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D27D5C2" w14:textId="77777777" w:rsidR="00A9243A" w:rsidRPr="00A9243A" w:rsidRDefault="00A9243A" w:rsidP="00A924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28.536,51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C407E9D" w14:textId="77777777" w:rsidR="00A9243A" w:rsidRPr="00A9243A" w:rsidRDefault="00A9243A" w:rsidP="00A924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31,04%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1465913" w14:textId="77777777" w:rsidR="00A9243A" w:rsidRPr="00A9243A" w:rsidRDefault="00A9243A" w:rsidP="00A924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9243A" w:rsidRPr="00A9243A" w14:paraId="605F092B" w14:textId="77777777" w:rsidTr="00A9243A">
        <w:trPr>
          <w:trHeight w:val="227"/>
        </w:trPr>
        <w:tc>
          <w:tcPr>
            <w:tcW w:w="2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E08755C" w14:textId="77777777" w:rsidR="00A9243A" w:rsidRPr="00A9243A" w:rsidRDefault="00A9243A" w:rsidP="00A924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4213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558B4FB8" w14:textId="77777777" w:rsidR="00A9243A" w:rsidRPr="00A9243A" w:rsidRDefault="00A9243A" w:rsidP="00A9243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Ceste, željeznice i ostali prometni objekti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C7E2514" w14:textId="77777777" w:rsidR="00A9243A" w:rsidRPr="00A9243A" w:rsidRDefault="00A9243A" w:rsidP="00A924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59.700,19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E6144EF" w14:textId="77777777" w:rsidR="00A9243A" w:rsidRPr="00A9243A" w:rsidRDefault="00A9243A" w:rsidP="00A924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49E6868" w14:textId="77777777" w:rsidR="00A9243A" w:rsidRPr="00A9243A" w:rsidRDefault="00A9243A" w:rsidP="00A924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4.350,00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C1820B1" w14:textId="77777777" w:rsidR="00A9243A" w:rsidRPr="00A9243A" w:rsidRDefault="00A9243A" w:rsidP="00A924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7,29%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4AB0801" w14:textId="77777777" w:rsidR="00A9243A" w:rsidRPr="00A9243A" w:rsidRDefault="00A9243A" w:rsidP="00A924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9243A" w:rsidRPr="00A9243A" w14:paraId="4E755118" w14:textId="77777777" w:rsidTr="00A9243A">
        <w:trPr>
          <w:trHeight w:val="227"/>
        </w:trPr>
        <w:tc>
          <w:tcPr>
            <w:tcW w:w="2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8EFABBC" w14:textId="77777777" w:rsidR="00A9243A" w:rsidRPr="00A9243A" w:rsidRDefault="00A9243A" w:rsidP="00A924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4214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5D9C2177" w14:textId="77777777" w:rsidR="00A9243A" w:rsidRPr="00A9243A" w:rsidRDefault="00A9243A" w:rsidP="00A9243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Ostali građevinski objekti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9BCA7B9" w14:textId="77777777" w:rsidR="00A9243A" w:rsidRPr="00A9243A" w:rsidRDefault="00A9243A" w:rsidP="00A924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57B47B6" w14:textId="77777777" w:rsidR="00A9243A" w:rsidRPr="00A9243A" w:rsidRDefault="00A9243A" w:rsidP="00A924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57AF359" w14:textId="77777777" w:rsidR="00A9243A" w:rsidRPr="00A9243A" w:rsidRDefault="00A9243A" w:rsidP="00A924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8D67C32" w14:textId="77777777" w:rsidR="00A9243A" w:rsidRPr="00A9243A" w:rsidRDefault="00A9243A" w:rsidP="00A924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0,00%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7673BFD" w14:textId="77777777" w:rsidR="00A9243A" w:rsidRPr="00A9243A" w:rsidRDefault="00A9243A" w:rsidP="00A924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9243A" w:rsidRPr="00A9243A" w14:paraId="18493B4C" w14:textId="77777777" w:rsidTr="00A9243A">
        <w:trPr>
          <w:trHeight w:val="227"/>
        </w:trPr>
        <w:tc>
          <w:tcPr>
            <w:tcW w:w="2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05B4ED0C" w14:textId="77777777" w:rsidR="00A9243A" w:rsidRPr="00A9243A" w:rsidRDefault="00A9243A" w:rsidP="00A924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422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08F6AB59" w14:textId="77777777" w:rsidR="00A9243A" w:rsidRPr="00A9243A" w:rsidRDefault="00A9243A" w:rsidP="00A9243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Postrojenja i oprema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A181B78" w14:textId="77777777" w:rsidR="00A9243A" w:rsidRPr="00A9243A" w:rsidRDefault="00A9243A" w:rsidP="00A924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10.939,52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9E2B5E5" w14:textId="77777777" w:rsidR="00A9243A" w:rsidRPr="00A9243A" w:rsidRDefault="00A9243A" w:rsidP="00A924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968C9DD" w14:textId="77777777" w:rsidR="00A9243A" w:rsidRPr="00A9243A" w:rsidRDefault="00A9243A" w:rsidP="00A924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414FB8D" w14:textId="77777777" w:rsidR="00A9243A" w:rsidRPr="00A9243A" w:rsidRDefault="00A9243A" w:rsidP="00A924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0,00%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4032903" w14:textId="77777777" w:rsidR="00A9243A" w:rsidRPr="00A9243A" w:rsidRDefault="00A9243A" w:rsidP="00A924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9243A" w:rsidRPr="00A9243A" w14:paraId="094E2FD6" w14:textId="77777777" w:rsidTr="00A9243A">
        <w:trPr>
          <w:trHeight w:val="227"/>
        </w:trPr>
        <w:tc>
          <w:tcPr>
            <w:tcW w:w="2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C7498F7" w14:textId="77777777" w:rsidR="00A9243A" w:rsidRPr="00A9243A" w:rsidRDefault="00A9243A" w:rsidP="00A924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4221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301D2B13" w14:textId="77777777" w:rsidR="00A9243A" w:rsidRPr="00A9243A" w:rsidRDefault="00A9243A" w:rsidP="00A9243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Uredska oprema i namještaj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A0A4E98" w14:textId="77777777" w:rsidR="00A9243A" w:rsidRPr="00A9243A" w:rsidRDefault="00A9243A" w:rsidP="00A924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875FD21" w14:textId="77777777" w:rsidR="00A9243A" w:rsidRPr="00A9243A" w:rsidRDefault="00A9243A" w:rsidP="00A924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17CA1A5" w14:textId="77777777" w:rsidR="00A9243A" w:rsidRPr="00A9243A" w:rsidRDefault="00A9243A" w:rsidP="00A924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5521BCC" w14:textId="77777777" w:rsidR="00A9243A" w:rsidRPr="00A9243A" w:rsidRDefault="00A9243A" w:rsidP="00A924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0,00%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A012752" w14:textId="77777777" w:rsidR="00A9243A" w:rsidRPr="00A9243A" w:rsidRDefault="00A9243A" w:rsidP="00A924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9243A" w:rsidRPr="00A9243A" w14:paraId="127620C6" w14:textId="77777777" w:rsidTr="00A9243A">
        <w:trPr>
          <w:trHeight w:val="227"/>
        </w:trPr>
        <w:tc>
          <w:tcPr>
            <w:tcW w:w="2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78DDD51" w14:textId="77777777" w:rsidR="00A9243A" w:rsidRPr="00A9243A" w:rsidRDefault="00A9243A" w:rsidP="00A924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4222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38702539" w14:textId="77777777" w:rsidR="00A9243A" w:rsidRPr="00A9243A" w:rsidRDefault="00A9243A" w:rsidP="00A9243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Komunikacijska oprema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150C968" w14:textId="77777777" w:rsidR="00A9243A" w:rsidRPr="00A9243A" w:rsidRDefault="00A9243A" w:rsidP="00A924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34B827B" w14:textId="77777777" w:rsidR="00A9243A" w:rsidRPr="00A9243A" w:rsidRDefault="00A9243A" w:rsidP="00A924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2D99183" w14:textId="77777777" w:rsidR="00A9243A" w:rsidRPr="00A9243A" w:rsidRDefault="00A9243A" w:rsidP="00A924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FB0067D" w14:textId="77777777" w:rsidR="00A9243A" w:rsidRPr="00A9243A" w:rsidRDefault="00A9243A" w:rsidP="00A924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0,00%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EF5B037" w14:textId="77777777" w:rsidR="00A9243A" w:rsidRPr="00A9243A" w:rsidRDefault="00A9243A" w:rsidP="00A924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9243A" w:rsidRPr="00A9243A" w14:paraId="77BD89E9" w14:textId="77777777" w:rsidTr="00A9243A">
        <w:trPr>
          <w:trHeight w:val="227"/>
        </w:trPr>
        <w:tc>
          <w:tcPr>
            <w:tcW w:w="2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8D409E5" w14:textId="77777777" w:rsidR="00A9243A" w:rsidRPr="00A9243A" w:rsidRDefault="00A9243A" w:rsidP="00A924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4223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598C7859" w14:textId="77777777" w:rsidR="00A9243A" w:rsidRPr="00A9243A" w:rsidRDefault="00A9243A" w:rsidP="00A9243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Oprema za održavanje i zaštitu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CF1C638" w14:textId="77777777" w:rsidR="00A9243A" w:rsidRPr="00A9243A" w:rsidRDefault="00A9243A" w:rsidP="00A924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24E5504" w14:textId="77777777" w:rsidR="00A9243A" w:rsidRPr="00A9243A" w:rsidRDefault="00A9243A" w:rsidP="00A924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2207243" w14:textId="77777777" w:rsidR="00A9243A" w:rsidRPr="00A9243A" w:rsidRDefault="00A9243A" w:rsidP="00A924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1CC5F30" w14:textId="77777777" w:rsidR="00A9243A" w:rsidRPr="00A9243A" w:rsidRDefault="00A9243A" w:rsidP="00A924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0,00%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86C8F2C" w14:textId="77777777" w:rsidR="00A9243A" w:rsidRPr="00A9243A" w:rsidRDefault="00A9243A" w:rsidP="00A924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9243A" w:rsidRPr="00A9243A" w14:paraId="506B84EB" w14:textId="77777777" w:rsidTr="00A9243A">
        <w:trPr>
          <w:trHeight w:val="227"/>
        </w:trPr>
        <w:tc>
          <w:tcPr>
            <w:tcW w:w="2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3D60A475" w14:textId="77777777" w:rsidR="00A9243A" w:rsidRPr="00A9243A" w:rsidRDefault="00A9243A" w:rsidP="00A924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4227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3F91FD3D" w14:textId="77777777" w:rsidR="00A9243A" w:rsidRPr="00A9243A" w:rsidRDefault="00A9243A" w:rsidP="00A9243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Uređaji, strojevi i oprema za ostale namjene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EACD3BE" w14:textId="77777777" w:rsidR="00A9243A" w:rsidRPr="00A9243A" w:rsidRDefault="00A9243A" w:rsidP="00A924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10.939,52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743FDE9" w14:textId="77777777" w:rsidR="00A9243A" w:rsidRPr="00A9243A" w:rsidRDefault="00A9243A" w:rsidP="00A924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6709DF8" w14:textId="77777777" w:rsidR="00A9243A" w:rsidRPr="00A9243A" w:rsidRDefault="00A9243A" w:rsidP="00A924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9693A7D" w14:textId="77777777" w:rsidR="00A9243A" w:rsidRPr="00A9243A" w:rsidRDefault="00A9243A" w:rsidP="00A924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0,00%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4F5AFF1" w14:textId="77777777" w:rsidR="00A9243A" w:rsidRPr="00A9243A" w:rsidRDefault="00A9243A" w:rsidP="00A924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9243A" w:rsidRPr="00A9243A" w14:paraId="04B7A614" w14:textId="77777777" w:rsidTr="00A9243A">
        <w:trPr>
          <w:trHeight w:val="227"/>
        </w:trPr>
        <w:tc>
          <w:tcPr>
            <w:tcW w:w="2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7D71971" w14:textId="77777777" w:rsidR="00A9243A" w:rsidRPr="00A9243A" w:rsidRDefault="00A9243A" w:rsidP="00A924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426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21F7D760" w14:textId="77777777" w:rsidR="00A9243A" w:rsidRPr="00A9243A" w:rsidRDefault="00A9243A" w:rsidP="00A9243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Nematerijalna proizvedena imovina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C0E30C0" w14:textId="77777777" w:rsidR="00A9243A" w:rsidRPr="00A9243A" w:rsidRDefault="00A9243A" w:rsidP="00A924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7711C68" w14:textId="77777777" w:rsidR="00A9243A" w:rsidRPr="00A9243A" w:rsidRDefault="00A9243A" w:rsidP="00A924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95B6F6A" w14:textId="77777777" w:rsidR="00A9243A" w:rsidRPr="00A9243A" w:rsidRDefault="00A9243A" w:rsidP="00A924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3CE00BC" w14:textId="77777777" w:rsidR="00A9243A" w:rsidRPr="00A9243A" w:rsidRDefault="00A9243A" w:rsidP="00A924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0,00%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0FF1438" w14:textId="77777777" w:rsidR="00A9243A" w:rsidRPr="00A9243A" w:rsidRDefault="00A9243A" w:rsidP="00A924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A9243A" w:rsidRPr="00A9243A" w14:paraId="5E08F728" w14:textId="77777777" w:rsidTr="00A9243A">
        <w:trPr>
          <w:trHeight w:val="227"/>
        </w:trPr>
        <w:tc>
          <w:tcPr>
            <w:tcW w:w="2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46AF8F4" w14:textId="77777777" w:rsidR="00A9243A" w:rsidRPr="00A9243A" w:rsidRDefault="00A9243A" w:rsidP="00A924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4262</w:t>
            </w:r>
          </w:p>
        </w:tc>
        <w:tc>
          <w:tcPr>
            <w:tcW w:w="2289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66DD5825" w14:textId="77777777" w:rsidR="00A9243A" w:rsidRPr="00A9243A" w:rsidRDefault="00A9243A" w:rsidP="00A9243A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Ulaganja u računalne programe</w:t>
            </w:r>
          </w:p>
        </w:tc>
        <w:tc>
          <w:tcPr>
            <w:tcW w:w="4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48B636C" w14:textId="77777777" w:rsidR="00A9243A" w:rsidRPr="00A9243A" w:rsidRDefault="00A9243A" w:rsidP="00A924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2721A3A" w14:textId="77777777" w:rsidR="00A9243A" w:rsidRPr="00A9243A" w:rsidRDefault="00A9243A" w:rsidP="00A924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E64DD70" w14:textId="77777777" w:rsidR="00A9243A" w:rsidRPr="00A9243A" w:rsidRDefault="00A9243A" w:rsidP="00A924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E8FFEA3" w14:textId="77777777" w:rsidR="00A9243A" w:rsidRPr="00A9243A" w:rsidRDefault="00A9243A" w:rsidP="00A924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0,00%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52881D0" w14:textId="77777777" w:rsidR="00A9243A" w:rsidRPr="00A9243A" w:rsidRDefault="00A9243A" w:rsidP="00A9243A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A9243A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</w:tbl>
    <w:p w14:paraId="5003CF8D" w14:textId="0C2B18B7" w:rsidR="00725638" w:rsidRPr="00000576" w:rsidRDefault="003B3C82" w:rsidP="003A4D0F">
      <w:pPr>
        <w:spacing w:before="120" w:after="120" w:line="240" w:lineRule="auto"/>
        <w:jc w:val="both"/>
        <w:rPr>
          <w:rFonts w:cstheme="minorHAnsi"/>
          <w:color w:val="FF0000"/>
          <w:sz w:val="22"/>
          <w:szCs w:val="22"/>
        </w:rPr>
      </w:pPr>
      <w:r>
        <w:rPr>
          <w:rFonts w:cstheme="minorHAnsi"/>
          <w:sz w:val="22"/>
          <w:szCs w:val="22"/>
        </w:rPr>
        <w:t>U</w:t>
      </w:r>
      <w:r w:rsidRPr="003B3C82">
        <w:rPr>
          <w:rFonts w:cstheme="minorHAnsi"/>
          <w:sz w:val="22"/>
          <w:szCs w:val="22"/>
        </w:rPr>
        <w:t>laganj</w:t>
      </w:r>
      <w:r>
        <w:rPr>
          <w:rFonts w:cstheme="minorHAnsi"/>
          <w:sz w:val="22"/>
          <w:szCs w:val="22"/>
        </w:rPr>
        <w:t>a</w:t>
      </w:r>
      <w:r w:rsidRPr="003B3C82">
        <w:rPr>
          <w:rFonts w:cstheme="minorHAnsi"/>
          <w:sz w:val="22"/>
          <w:szCs w:val="22"/>
        </w:rPr>
        <w:t xml:space="preserve"> u </w:t>
      </w:r>
      <w:r w:rsidR="00B81905">
        <w:rPr>
          <w:rFonts w:cstheme="minorHAnsi"/>
          <w:sz w:val="22"/>
          <w:szCs w:val="22"/>
        </w:rPr>
        <w:t xml:space="preserve">građevinske </w:t>
      </w:r>
      <w:r w:rsidRPr="003B3C82">
        <w:rPr>
          <w:rFonts w:cstheme="minorHAnsi"/>
          <w:sz w:val="22"/>
          <w:szCs w:val="22"/>
        </w:rPr>
        <w:t>objekte odnos</w:t>
      </w:r>
      <w:r>
        <w:rPr>
          <w:rFonts w:cstheme="minorHAnsi"/>
          <w:sz w:val="22"/>
          <w:szCs w:val="22"/>
        </w:rPr>
        <w:t>e</w:t>
      </w:r>
      <w:r w:rsidRPr="003B3C82">
        <w:rPr>
          <w:rFonts w:cstheme="minorHAnsi"/>
          <w:sz w:val="22"/>
          <w:szCs w:val="22"/>
        </w:rPr>
        <w:t xml:space="preserve"> se na </w:t>
      </w:r>
      <w:r w:rsidR="00B81905">
        <w:rPr>
          <w:rFonts w:cstheme="minorHAnsi"/>
          <w:sz w:val="22"/>
          <w:szCs w:val="22"/>
        </w:rPr>
        <w:t xml:space="preserve">kupnju suvlasničkog dijela stambenog objekta nužnog za pripremu zemljišta za izgradnju dječjeg vrtića, te nastavak </w:t>
      </w:r>
      <w:r w:rsidRPr="003B3C82">
        <w:rPr>
          <w:rFonts w:cstheme="minorHAnsi"/>
          <w:sz w:val="22"/>
          <w:szCs w:val="22"/>
        </w:rPr>
        <w:t>izgradnj</w:t>
      </w:r>
      <w:r w:rsidR="00B81905">
        <w:rPr>
          <w:rFonts w:cstheme="minorHAnsi"/>
          <w:sz w:val="22"/>
          <w:szCs w:val="22"/>
        </w:rPr>
        <w:t>e</w:t>
      </w:r>
      <w:r w:rsidRPr="003B3C82">
        <w:rPr>
          <w:rFonts w:cstheme="minorHAnsi"/>
          <w:sz w:val="22"/>
          <w:szCs w:val="22"/>
        </w:rPr>
        <w:t xml:space="preserve"> višenamjenskog društvenog doma u Ovčari</w:t>
      </w:r>
      <w:r>
        <w:rPr>
          <w:rFonts w:cstheme="minorHAnsi"/>
          <w:sz w:val="22"/>
          <w:szCs w:val="22"/>
        </w:rPr>
        <w:t>,</w:t>
      </w:r>
      <w:r w:rsidRPr="003B3C82">
        <w:rPr>
          <w:rFonts w:cstheme="minorHAnsi"/>
          <w:sz w:val="22"/>
          <w:szCs w:val="22"/>
        </w:rPr>
        <w:t xml:space="preserve"> </w:t>
      </w:r>
      <w:r>
        <w:rPr>
          <w:rFonts w:cstheme="minorHAnsi"/>
          <w:sz w:val="22"/>
          <w:szCs w:val="22"/>
        </w:rPr>
        <w:t>a ulaganja</w:t>
      </w:r>
      <w:r w:rsidRPr="003B3C82">
        <w:rPr>
          <w:rFonts w:cstheme="minorHAnsi"/>
          <w:sz w:val="22"/>
          <w:szCs w:val="22"/>
        </w:rPr>
        <w:t xml:space="preserve"> u ceste </w:t>
      </w:r>
      <w:r>
        <w:rPr>
          <w:rFonts w:cstheme="minorHAnsi"/>
          <w:sz w:val="22"/>
          <w:szCs w:val="22"/>
        </w:rPr>
        <w:t>odnosi se na</w:t>
      </w:r>
      <w:r w:rsidRPr="003B3C82">
        <w:rPr>
          <w:rFonts w:cstheme="minorHAnsi"/>
          <w:sz w:val="22"/>
          <w:szCs w:val="22"/>
        </w:rPr>
        <w:t xml:space="preserve"> </w:t>
      </w:r>
      <w:r w:rsidR="00B81905">
        <w:rPr>
          <w:rFonts w:cstheme="minorHAnsi"/>
          <w:sz w:val="22"/>
          <w:szCs w:val="22"/>
        </w:rPr>
        <w:t>izmjenu glavnog projekta</w:t>
      </w:r>
      <w:r w:rsidRPr="003B3C82">
        <w:rPr>
          <w:rFonts w:cstheme="minorHAnsi"/>
          <w:sz w:val="22"/>
          <w:szCs w:val="22"/>
        </w:rPr>
        <w:t xml:space="preserve"> za </w:t>
      </w:r>
      <w:r w:rsidR="00B81905">
        <w:rPr>
          <w:rFonts w:cstheme="minorHAnsi"/>
          <w:sz w:val="22"/>
          <w:szCs w:val="22"/>
        </w:rPr>
        <w:t>izgradnju</w:t>
      </w:r>
      <w:r w:rsidRPr="003B3C82">
        <w:rPr>
          <w:rFonts w:cstheme="minorHAnsi"/>
          <w:sz w:val="22"/>
          <w:szCs w:val="22"/>
        </w:rPr>
        <w:t xml:space="preserve"> NC </w:t>
      </w:r>
      <w:r w:rsidR="00B81905">
        <w:rPr>
          <w:rFonts w:cstheme="minorHAnsi"/>
          <w:sz w:val="22"/>
          <w:szCs w:val="22"/>
        </w:rPr>
        <w:t>Crna bara</w:t>
      </w:r>
      <w:r>
        <w:rPr>
          <w:rFonts w:cstheme="minorHAnsi"/>
          <w:sz w:val="22"/>
          <w:szCs w:val="22"/>
        </w:rPr>
        <w:t>,</w:t>
      </w:r>
      <w:r w:rsidRPr="003B3C82">
        <w:rPr>
          <w:rFonts w:cstheme="minorHAnsi"/>
          <w:sz w:val="22"/>
          <w:szCs w:val="22"/>
        </w:rPr>
        <w:t xml:space="preserve"> te </w:t>
      </w:r>
      <w:r w:rsidR="00B81905">
        <w:rPr>
          <w:rFonts w:cstheme="minorHAnsi"/>
          <w:sz w:val="22"/>
          <w:szCs w:val="22"/>
        </w:rPr>
        <w:t>izradu projektne dokumentacije za rekonstrukcije NC Duboki dol</w:t>
      </w:r>
      <w:r w:rsidRPr="003B3C82">
        <w:rPr>
          <w:rFonts w:cstheme="minorHAnsi"/>
          <w:sz w:val="22"/>
          <w:szCs w:val="22"/>
        </w:rPr>
        <w:t>.</w:t>
      </w:r>
    </w:p>
    <w:p w14:paraId="78E81926" w14:textId="77777777" w:rsidR="00DE6F4E" w:rsidRPr="00000576" w:rsidRDefault="00DE6F4E" w:rsidP="00000576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</w:p>
    <w:p w14:paraId="5E15CA6D" w14:textId="61853444" w:rsidR="00725638" w:rsidRPr="00BB3F52" w:rsidRDefault="00BB3F52" w:rsidP="00165728">
      <w:pPr>
        <w:pStyle w:val="Naslov3"/>
        <w:numPr>
          <w:ilvl w:val="2"/>
          <w:numId w:val="4"/>
        </w:numPr>
        <w:spacing w:before="0" w:after="120"/>
        <w:ind w:left="504"/>
        <w:rPr>
          <w:b/>
          <w:sz w:val="22"/>
        </w:rPr>
      </w:pPr>
      <w:bookmarkStart w:id="31" w:name="_Toc209436510"/>
      <w:r w:rsidRPr="00BB3F52">
        <w:rPr>
          <w:b/>
          <w:caps w:val="0"/>
          <w:sz w:val="22"/>
        </w:rPr>
        <w:t>Rashodi za dodatna ulaganja na nefinancijskoj imovini</w:t>
      </w:r>
      <w:bookmarkEnd w:id="31"/>
    </w:p>
    <w:p w14:paraId="0503AF43" w14:textId="34FDB491" w:rsidR="00725638" w:rsidRDefault="00725638" w:rsidP="00000576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000576">
        <w:rPr>
          <w:rFonts w:cstheme="minorHAnsi"/>
          <w:sz w:val="22"/>
          <w:szCs w:val="22"/>
        </w:rPr>
        <w:t>Dodatna ulaganja na nefinancij</w:t>
      </w:r>
      <w:r w:rsidR="00C74EB9" w:rsidRPr="00000576">
        <w:rPr>
          <w:rFonts w:cstheme="minorHAnsi"/>
          <w:sz w:val="22"/>
          <w:szCs w:val="22"/>
        </w:rPr>
        <w:t>sk</w:t>
      </w:r>
      <w:r w:rsidR="00274319">
        <w:rPr>
          <w:rFonts w:cstheme="minorHAnsi"/>
          <w:sz w:val="22"/>
          <w:szCs w:val="22"/>
        </w:rPr>
        <w:t>oj</w:t>
      </w:r>
      <w:r w:rsidR="00C74EB9" w:rsidRPr="00000576">
        <w:rPr>
          <w:rFonts w:cstheme="minorHAnsi"/>
          <w:sz w:val="22"/>
          <w:szCs w:val="22"/>
        </w:rPr>
        <w:t xml:space="preserve"> imovin</w:t>
      </w:r>
      <w:r w:rsidR="00274319">
        <w:rPr>
          <w:rFonts w:cstheme="minorHAnsi"/>
          <w:sz w:val="22"/>
          <w:szCs w:val="22"/>
        </w:rPr>
        <w:t>i</w:t>
      </w:r>
      <w:r w:rsidR="00C74EB9" w:rsidRPr="00000576">
        <w:rPr>
          <w:rFonts w:cstheme="minorHAnsi"/>
          <w:sz w:val="22"/>
          <w:szCs w:val="22"/>
        </w:rPr>
        <w:t xml:space="preserve"> </w:t>
      </w:r>
      <w:r w:rsidR="00407A07">
        <w:rPr>
          <w:rFonts w:cstheme="minorHAnsi"/>
          <w:sz w:val="22"/>
          <w:szCs w:val="22"/>
        </w:rPr>
        <w:t xml:space="preserve">nisu </w:t>
      </w:r>
      <w:r w:rsidR="00952C2D">
        <w:rPr>
          <w:rFonts w:cstheme="minorHAnsi"/>
          <w:sz w:val="22"/>
          <w:szCs w:val="22"/>
        </w:rPr>
        <w:t>realizirana</w:t>
      </w:r>
      <w:r w:rsidR="00274319">
        <w:rPr>
          <w:rFonts w:cstheme="minorHAnsi"/>
          <w:sz w:val="22"/>
          <w:szCs w:val="22"/>
        </w:rPr>
        <w:t xml:space="preserve"> </w:t>
      </w:r>
      <w:r w:rsidR="00952C2D">
        <w:rPr>
          <w:rFonts w:cstheme="minorHAnsi"/>
          <w:sz w:val="22"/>
          <w:szCs w:val="22"/>
        </w:rPr>
        <w:t>u</w:t>
      </w:r>
      <w:r w:rsidR="00784033">
        <w:rPr>
          <w:rFonts w:cstheme="minorHAnsi"/>
          <w:sz w:val="22"/>
          <w:szCs w:val="22"/>
        </w:rPr>
        <w:t xml:space="preserve"> prvoj polovici</w:t>
      </w:r>
      <w:r w:rsidR="00952C2D">
        <w:rPr>
          <w:rFonts w:cstheme="minorHAnsi"/>
          <w:sz w:val="22"/>
          <w:szCs w:val="22"/>
        </w:rPr>
        <w:t xml:space="preserve"> </w:t>
      </w:r>
      <w:r w:rsidR="004B16D8">
        <w:rPr>
          <w:rFonts w:cstheme="minorHAnsi"/>
          <w:sz w:val="22"/>
          <w:szCs w:val="22"/>
        </w:rPr>
        <w:t>202</w:t>
      </w:r>
      <w:r w:rsidR="00407A07">
        <w:rPr>
          <w:rFonts w:cstheme="minorHAnsi"/>
          <w:sz w:val="22"/>
          <w:szCs w:val="22"/>
        </w:rPr>
        <w:t>5</w:t>
      </w:r>
      <w:r w:rsidR="004B16D8">
        <w:rPr>
          <w:rFonts w:cstheme="minorHAnsi"/>
          <w:sz w:val="22"/>
          <w:szCs w:val="22"/>
        </w:rPr>
        <w:t>. godin</w:t>
      </w:r>
      <w:r w:rsidR="00784033">
        <w:rPr>
          <w:rFonts w:cstheme="minorHAnsi"/>
          <w:sz w:val="22"/>
          <w:szCs w:val="22"/>
        </w:rPr>
        <w:t>e</w:t>
      </w:r>
      <w:r w:rsidR="00274319">
        <w:rPr>
          <w:rFonts w:cstheme="minorHAnsi"/>
          <w:sz w:val="22"/>
          <w:szCs w:val="22"/>
        </w:rPr>
        <w:t>.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4"/>
        <w:gridCol w:w="4820"/>
        <w:gridCol w:w="993"/>
        <w:gridCol w:w="1133"/>
        <w:gridCol w:w="993"/>
        <w:gridCol w:w="991"/>
        <w:gridCol w:w="962"/>
      </w:tblGrid>
      <w:tr w:rsidR="00407A07" w:rsidRPr="00407A07" w14:paraId="50FEA559" w14:textId="77777777" w:rsidTr="00407A07">
        <w:trPr>
          <w:trHeight w:val="227"/>
        </w:trPr>
        <w:tc>
          <w:tcPr>
            <w:tcW w:w="2574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830F72A" w14:textId="77777777" w:rsidR="00407A07" w:rsidRPr="00407A07" w:rsidRDefault="00407A07" w:rsidP="00407A0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Brojčana oznaka i naziv računa</w:t>
            </w:r>
          </w:p>
        </w:tc>
        <w:tc>
          <w:tcPr>
            <w:tcW w:w="4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6FAA5C01" w14:textId="77777777" w:rsidR="00407A07" w:rsidRDefault="00407A07" w:rsidP="00407A0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Izvršenje</w:t>
            </w:r>
          </w:p>
          <w:p w14:paraId="1986DF33" w14:textId="0D722962" w:rsidR="00407A07" w:rsidRPr="00407A07" w:rsidRDefault="00407A07" w:rsidP="00407A0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I-VI 2024.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662D724E" w14:textId="77777777" w:rsidR="00407A07" w:rsidRPr="00407A07" w:rsidRDefault="00407A07" w:rsidP="00407A0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Proračun 2025</w:t>
            </w:r>
          </w:p>
        </w:tc>
        <w:tc>
          <w:tcPr>
            <w:tcW w:w="4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52979A00" w14:textId="77777777" w:rsidR="00407A07" w:rsidRDefault="00407A07" w:rsidP="00407A0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Izvršenje</w:t>
            </w:r>
          </w:p>
          <w:p w14:paraId="7886FED0" w14:textId="79D3EF7D" w:rsidR="00407A07" w:rsidRPr="00407A07" w:rsidRDefault="00407A07" w:rsidP="00407A0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I-VI 2025.</w:t>
            </w:r>
          </w:p>
        </w:tc>
        <w:tc>
          <w:tcPr>
            <w:tcW w:w="47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6DEA61A7" w14:textId="77777777" w:rsidR="00407A07" w:rsidRPr="00407A07" w:rsidRDefault="00407A07" w:rsidP="00407A0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Indeks (4/2*100)</w:t>
            </w:r>
          </w:p>
        </w:tc>
        <w:tc>
          <w:tcPr>
            <w:tcW w:w="46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53B139AE" w14:textId="77777777" w:rsidR="00407A07" w:rsidRPr="00407A07" w:rsidRDefault="00407A07" w:rsidP="00407A0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Indeks (4/3*100)</w:t>
            </w:r>
          </w:p>
        </w:tc>
      </w:tr>
      <w:tr w:rsidR="00407A07" w:rsidRPr="00407A07" w14:paraId="15073417" w14:textId="77777777" w:rsidTr="00407A07">
        <w:trPr>
          <w:trHeight w:val="227"/>
        </w:trPr>
        <w:tc>
          <w:tcPr>
            <w:tcW w:w="2574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7E6E6"/>
            <w:noWrap/>
            <w:vAlign w:val="center"/>
            <w:hideMark/>
          </w:tcPr>
          <w:p w14:paraId="541A18B4" w14:textId="77777777" w:rsidR="00407A07" w:rsidRPr="00407A07" w:rsidRDefault="00407A07" w:rsidP="00407A0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vAlign w:val="center"/>
            <w:hideMark/>
          </w:tcPr>
          <w:p w14:paraId="08329546" w14:textId="77777777" w:rsidR="00407A07" w:rsidRPr="00407A07" w:rsidRDefault="00407A07" w:rsidP="00407A0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vAlign w:val="center"/>
            <w:hideMark/>
          </w:tcPr>
          <w:p w14:paraId="179556C7" w14:textId="77777777" w:rsidR="00407A07" w:rsidRPr="00407A07" w:rsidRDefault="00407A07" w:rsidP="00407A0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vAlign w:val="center"/>
            <w:hideMark/>
          </w:tcPr>
          <w:p w14:paraId="572EDA8C" w14:textId="77777777" w:rsidR="00407A07" w:rsidRPr="00407A07" w:rsidRDefault="00407A07" w:rsidP="00407A0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vAlign w:val="center"/>
            <w:hideMark/>
          </w:tcPr>
          <w:p w14:paraId="3B8306EC" w14:textId="77777777" w:rsidR="00407A07" w:rsidRPr="00407A07" w:rsidRDefault="00407A07" w:rsidP="00407A0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2CAD7250" w14:textId="77777777" w:rsidR="00407A07" w:rsidRPr="00407A07" w:rsidRDefault="00407A07" w:rsidP="00407A0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</w:tr>
      <w:tr w:rsidR="00407A07" w:rsidRPr="00407A07" w14:paraId="11F911CB" w14:textId="77777777" w:rsidTr="00407A07">
        <w:trPr>
          <w:trHeight w:val="227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06625B4" w14:textId="77777777" w:rsidR="00407A07" w:rsidRPr="00407A07" w:rsidRDefault="00407A07" w:rsidP="00407A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45</w:t>
            </w:r>
          </w:p>
        </w:tc>
        <w:tc>
          <w:tcPr>
            <w:tcW w:w="230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14:paraId="79C151F0" w14:textId="77777777" w:rsidR="00407A07" w:rsidRPr="00407A07" w:rsidRDefault="00407A07" w:rsidP="00407A07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Rashodi za dodatna ulaganja na nefinancijskoj imovini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8716571" w14:textId="77777777" w:rsidR="00407A07" w:rsidRPr="00407A07" w:rsidRDefault="00407A07" w:rsidP="00407A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1.700,00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14D6045" w14:textId="77777777" w:rsidR="00407A07" w:rsidRPr="00407A07" w:rsidRDefault="00407A07" w:rsidP="00407A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57.000,00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072DDBC" w14:textId="77777777" w:rsidR="00407A07" w:rsidRPr="00407A07" w:rsidRDefault="00407A07" w:rsidP="00407A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1B11E49" w14:textId="77777777" w:rsidR="00407A07" w:rsidRPr="00407A07" w:rsidRDefault="00407A07" w:rsidP="00407A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0,00%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22E3A336" w14:textId="77777777" w:rsidR="00407A07" w:rsidRPr="00407A07" w:rsidRDefault="00407A07" w:rsidP="00407A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0,00%</w:t>
            </w:r>
          </w:p>
        </w:tc>
      </w:tr>
      <w:tr w:rsidR="00407A07" w:rsidRPr="00407A07" w14:paraId="1EEA991C" w14:textId="77777777" w:rsidTr="00407A07">
        <w:trPr>
          <w:trHeight w:val="227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B2C594D" w14:textId="77777777" w:rsidR="00407A07" w:rsidRPr="00407A07" w:rsidRDefault="00407A07" w:rsidP="00407A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451</w:t>
            </w:r>
          </w:p>
        </w:tc>
        <w:tc>
          <w:tcPr>
            <w:tcW w:w="230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0F6A91D1" w14:textId="77777777" w:rsidR="00407A07" w:rsidRPr="00407A07" w:rsidRDefault="00407A07" w:rsidP="00407A0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Dodatna ulaganja na građevinskim objektima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668A88D" w14:textId="77777777" w:rsidR="00407A07" w:rsidRPr="00407A07" w:rsidRDefault="00407A07" w:rsidP="00407A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1.700,00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816EC18" w14:textId="77777777" w:rsidR="00407A07" w:rsidRPr="00407A07" w:rsidRDefault="00407A07" w:rsidP="00407A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26C4620" w14:textId="77777777" w:rsidR="00407A07" w:rsidRPr="00407A07" w:rsidRDefault="00407A07" w:rsidP="00407A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ECAFCFD" w14:textId="77777777" w:rsidR="00407A07" w:rsidRPr="00407A07" w:rsidRDefault="00407A07" w:rsidP="00407A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0,00%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3C5834B3" w14:textId="77777777" w:rsidR="00407A07" w:rsidRPr="00407A07" w:rsidRDefault="00407A07" w:rsidP="00407A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07A07" w:rsidRPr="00407A07" w14:paraId="7276A7E5" w14:textId="77777777" w:rsidTr="00407A07">
        <w:trPr>
          <w:trHeight w:val="227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9009819" w14:textId="77777777" w:rsidR="00407A07" w:rsidRPr="00407A07" w:rsidRDefault="00407A07" w:rsidP="00407A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4511</w:t>
            </w:r>
          </w:p>
        </w:tc>
        <w:tc>
          <w:tcPr>
            <w:tcW w:w="230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16D7B128" w14:textId="77777777" w:rsidR="00407A07" w:rsidRPr="00407A07" w:rsidRDefault="00407A07" w:rsidP="00407A0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Dodatna ulaganja na građevinskim objektima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BB3F63D" w14:textId="77777777" w:rsidR="00407A07" w:rsidRPr="00407A07" w:rsidRDefault="00407A07" w:rsidP="00407A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1.700,00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1FA7087" w14:textId="77777777" w:rsidR="00407A07" w:rsidRPr="00407A07" w:rsidRDefault="00407A07" w:rsidP="00407A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FBBDA50" w14:textId="77777777" w:rsidR="00407A07" w:rsidRPr="00407A07" w:rsidRDefault="00407A07" w:rsidP="00407A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4B2FEDC" w14:textId="77777777" w:rsidR="00407A07" w:rsidRPr="00407A07" w:rsidRDefault="00407A07" w:rsidP="00407A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0,00%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1E828EB" w14:textId="77777777" w:rsidR="00407A07" w:rsidRPr="00407A07" w:rsidRDefault="00407A07" w:rsidP="00407A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07A07" w:rsidRPr="00407A07" w14:paraId="3A3D5D0A" w14:textId="77777777" w:rsidTr="00407A07">
        <w:trPr>
          <w:trHeight w:val="227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4D13E504" w14:textId="77777777" w:rsidR="00407A07" w:rsidRPr="00407A07" w:rsidRDefault="00407A07" w:rsidP="00407A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454</w:t>
            </w:r>
          </w:p>
        </w:tc>
        <w:tc>
          <w:tcPr>
            <w:tcW w:w="230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0F45A8CB" w14:textId="77777777" w:rsidR="00407A07" w:rsidRPr="00407A07" w:rsidRDefault="00407A07" w:rsidP="00407A0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Dodatna ulaganja za ostalu nefinancijsku imovinu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E691B28" w14:textId="77777777" w:rsidR="00407A07" w:rsidRPr="00407A07" w:rsidRDefault="00407A07" w:rsidP="00407A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143BC34" w14:textId="77777777" w:rsidR="00407A07" w:rsidRPr="00407A07" w:rsidRDefault="00407A07" w:rsidP="00407A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E97D54E" w14:textId="77777777" w:rsidR="00407A07" w:rsidRPr="00407A07" w:rsidRDefault="00407A07" w:rsidP="00407A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1DEF6F0" w14:textId="77777777" w:rsidR="00407A07" w:rsidRPr="00407A07" w:rsidRDefault="00407A07" w:rsidP="00407A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0,00%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1B43AB7" w14:textId="77777777" w:rsidR="00407A07" w:rsidRPr="00407A07" w:rsidRDefault="00407A07" w:rsidP="00407A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07A07" w:rsidRPr="00407A07" w14:paraId="7926C47F" w14:textId="77777777" w:rsidTr="00407A07">
        <w:trPr>
          <w:trHeight w:val="227"/>
        </w:trPr>
        <w:tc>
          <w:tcPr>
            <w:tcW w:w="26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5F272B50" w14:textId="77777777" w:rsidR="00407A07" w:rsidRPr="00407A07" w:rsidRDefault="00407A07" w:rsidP="00407A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4541</w:t>
            </w:r>
          </w:p>
        </w:tc>
        <w:tc>
          <w:tcPr>
            <w:tcW w:w="230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7CB57E5D" w14:textId="77777777" w:rsidR="00407A07" w:rsidRPr="00407A07" w:rsidRDefault="00407A07" w:rsidP="00407A0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Dodatna ulaganja za ostalu nefinancijsku imovinu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9BDC1FA" w14:textId="77777777" w:rsidR="00407A07" w:rsidRPr="00407A07" w:rsidRDefault="00407A07" w:rsidP="00407A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FC767F7" w14:textId="77777777" w:rsidR="00407A07" w:rsidRPr="00407A07" w:rsidRDefault="00407A07" w:rsidP="00407A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FEC47E4" w14:textId="77777777" w:rsidR="00407A07" w:rsidRPr="00407A07" w:rsidRDefault="00407A07" w:rsidP="00407A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68EFBE0" w14:textId="77777777" w:rsidR="00407A07" w:rsidRPr="00407A07" w:rsidRDefault="00407A07" w:rsidP="00407A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0,00%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6619891" w14:textId="77777777" w:rsidR="00407A07" w:rsidRPr="00407A07" w:rsidRDefault="00407A07" w:rsidP="00407A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</w:tbl>
    <w:p w14:paraId="05603994" w14:textId="77777777" w:rsidR="00274319" w:rsidRPr="00000576" w:rsidRDefault="00274319" w:rsidP="00274319">
      <w:pPr>
        <w:spacing w:before="120" w:after="120" w:line="240" w:lineRule="auto"/>
        <w:jc w:val="both"/>
        <w:rPr>
          <w:rFonts w:cstheme="minorHAnsi"/>
          <w:sz w:val="22"/>
          <w:szCs w:val="22"/>
        </w:rPr>
      </w:pPr>
    </w:p>
    <w:p w14:paraId="7FE4F06B" w14:textId="1361AFA6" w:rsidR="005C7CB5" w:rsidRPr="00BB3F52" w:rsidRDefault="00BB3F52" w:rsidP="00165728">
      <w:pPr>
        <w:pStyle w:val="Naslov3"/>
        <w:numPr>
          <w:ilvl w:val="2"/>
          <w:numId w:val="4"/>
        </w:numPr>
        <w:spacing w:before="0" w:after="120"/>
        <w:ind w:left="504"/>
        <w:rPr>
          <w:b/>
          <w:sz w:val="22"/>
        </w:rPr>
      </w:pPr>
      <w:bookmarkStart w:id="32" w:name="_Toc209436511"/>
      <w:r w:rsidRPr="00BB3F52">
        <w:rPr>
          <w:b/>
          <w:caps w:val="0"/>
          <w:sz w:val="22"/>
        </w:rPr>
        <w:t xml:space="preserve">Izdaci za </w:t>
      </w:r>
      <w:r w:rsidR="004B16D8">
        <w:rPr>
          <w:b/>
          <w:caps w:val="0"/>
          <w:sz w:val="22"/>
        </w:rPr>
        <w:t xml:space="preserve">financijsku imovinu i </w:t>
      </w:r>
      <w:r w:rsidRPr="00BB3F52">
        <w:rPr>
          <w:b/>
          <w:caps w:val="0"/>
          <w:sz w:val="22"/>
        </w:rPr>
        <w:t>otplat</w:t>
      </w:r>
      <w:r w:rsidR="004B16D8">
        <w:rPr>
          <w:b/>
          <w:caps w:val="0"/>
          <w:sz w:val="22"/>
        </w:rPr>
        <w:t>e</w:t>
      </w:r>
      <w:r w:rsidRPr="00BB3F52">
        <w:rPr>
          <w:b/>
          <w:caps w:val="0"/>
          <w:sz w:val="22"/>
        </w:rPr>
        <w:t xml:space="preserve"> zajmova</w:t>
      </w:r>
      <w:bookmarkEnd w:id="32"/>
    </w:p>
    <w:p w14:paraId="0CE84092" w14:textId="6593CA06" w:rsidR="005C7CB5" w:rsidRDefault="00BB3F52" w:rsidP="00000576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 w:rsidRPr="00BB3F52">
        <w:rPr>
          <w:rFonts w:cstheme="minorHAnsi"/>
          <w:sz w:val="22"/>
          <w:szCs w:val="22"/>
        </w:rPr>
        <w:t xml:space="preserve">Izdaci za financijsku imovinu i otplate zajmova </w:t>
      </w:r>
      <w:r w:rsidR="0069151F">
        <w:rPr>
          <w:rFonts w:cstheme="minorHAnsi"/>
          <w:sz w:val="22"/>
          <w:szCs w:val="22"/>
        </w:rPr>
        <w:t xml:space="preserve">nisu </w:t>
      </w:r>
      <w:r w:rsidR="00952C2D">
        <w:rPr>
          <w:rFonts w:cstheme="minorHAnsi"/>
          <w:sz w:val="22"/>
          <w:szCs w:val="22"/>
        </w:rPr>
        <w:t>realizirani</w:t>
      </w:r>
      <w:r w:rsidR="00E45B0C">
        <w:rPr>
          <w:rFonts w:cstheme="minorHAnsi"/>
          <w:sz w:val="22"/>
          <w:szCs w:val="22"/>
        </w:rPr>
        <w:t xml:space="preserve"> </w:t>
      </w:r>
      <w:r w:rsidR="00952C2D">
        <w:rPr>
          <w:rFonts w:cstheme="minorHAnsi"/>
          <w:sz w:val="22"/>
          <w:szCs w:val="22"/>
        </w:rPr>
        <w:t xml:space="preserve">u </w:t>
      </w:r>
      <w:r w:rsidR="0069151F">
        <w:rPr>
          <w:rFonts w:cstheme="minorHAnsi"/>
          <w:sz w:val="22"/>
          <w:szCs w:val="22"/>
        </w:rPr>
        <w:t>promatranom razdoblju.</w:t>
      </w:r>
    </w:p>
    <w:p w14:paraId="71BA2CA8" w14:textId="3C37BBB9" w:rsidR="0069151F" w:rsidRDefault="0069151F" w:rsidP="00000576">
      <w:pPr>
        <w:spacing w:before="0" w:after="120" w:line="240" w:lineRule="auto"/>
        <w:jc w:val="both"/>
        <w:rPr>
          <w:rFonts w:cstheme="minorHAnsi"/>
          <w:sz w:val="22"/>
          <w:szCs w:val="22"/>
        </w:rPr>
      </w:pPr>
      <w:r>
        <w:rPr>
          <w:rFonts w:cstheme="minorHAnsi"/>
          <w:sz w:val="22"/>
          <w:szCs w:val="22"/>
        </w:rPr>
        <w:t xml:space="preserve">Planirana dokapitalizacija trgovačkog društava Maslačak nije izvršena, a što se tiče otplate glavnice dugoročnog kredita HBOR-a, pokrenut je postupak </w:t>
      </w:r>
      <w:proofErr w:type="spellStart"/>
      <w:r>
        <w:rPr>
          <w:rFonts w:cstheme="minorHAnsi"/>
          <w:sz w:val="22"/>
          <w:szCs w:val="22"/>
        </w:rPr>
        <w:t>reprograma</w:t>
      </w:r>
      <w:proofErr w:type="spellEnd"/>
      <w:r>
        <w:rPr>
          <w:rFonts w:cstheme="minorHAnsi"/>
          <w:sz w:val="22"/>
          <w:szCs w:val="22"/>
        </w:rPr>
        <w:t xml:space="preserve"> kredita.</w:t>
      </w:r>
    </w:p>
    <w:tbl>
      <w:tblPr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70"/>
        <w:gridCol w:w="4814"/>
        <w:gridCol w:w="993"/>
        <w:gridCol w:w="1133"/>
        <w:gridCol w:w="993"/>
        <w:gridCol w:w="991"/>
        <w:gridCol w:w="962"/>
      </w:tblGrid>
      <w:tr w:rsidR="0069151F" w:rsidRPr="00407A07" w14:paraId="5C2317E7" w14:textId="77777777" w:rsidTr="0069151F">
        <w:trPr>
          <w:trHeight w:val="227"/>
        </w:trPr>
        <w:tc>
          <w:tcPr>
            <w:tcW w:w="2574" w:type="pct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D5F0228" w14:textId="77777777" w:rsidR="00407A07" w:rsidRPr="00407A07" w:rsidRDefault="00407A07" w:rsidP="00407A0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Brojčana oznaka i naziv računa</w:t>
            </w:r>
          </w:p>
        </w:tc>
        <w:tc>
          <w:tcPr>
            <w:tcW w:w="4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1396E4F7" w14:textId="77777777" w:rsidR="0069151F" w:rsidRDefault="00407A07" w:rsidP="00407A0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Izvršenje </w:t>
            </w:r>
          </w:p>
          <w:p w14:paraId="40E2A375" w14:textId="100464AC" w:rsidR="00407A07" w:rsidRPr="00407A07" w:rsidRDefault="00407A07" w:rsidP="00407A0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I-VI 2024.</w:t>
            </w:r>
          </w:p>
        </w:tc>
        <w:tc>
          <w:tcPr>
            <w:tcW w:w="542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51A591B3" w14:textId="77777777" w:rsidR="00407A07" w:rsidRPr="00407A07" w:rsidRDefault="00407A07" w:rsidP="00407A0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Proračun 2025</w:t>
            </w:r>
          </w:p>
        </w:tc>
        <w:tc>
          <w:tcPr>
            <w:tcW w:w="475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4445DD75" w14:textId="77777777" w:rsidR="0069151F" w:rsidRDefault="00407A07" w:rsidP="00407A0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Izvršenje </w:t>
            </w:r>
          </w:p>
          <w:p w14:paraId="57D363D5" w14:textId="1EDAA057" w:rsidR="00407A07" w:rsidRPr="00407A07" w:rsidRDefault="00407A07" w:rsidP="00407A0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I-VI 2025.</w:t>
            </w:r>
          </w:p>
        </w:tc>
        <w:tc>
          <w:tcPr>
            <w:tcW w:w="474" w:type="pct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14:paraId="63A9BA1E" w14:textId="77777777" w:rsidR="00407A07" w:rsidRPr="00407A07" w:rsidRDefault="00407A07" w:rsidP="00407A0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Indeks (4/2*100)</w:t>
            </w:r>
          </w:p>
        </w:tc>
        <w:tc>
          <w:tcPr>
            <w:tcW w:w="461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015605A4" w14:textId="77777777" w:rsidR="00407A07" w:rsidRPr="00407A07" w:rsidRDefault="00407A07" w:rsidP="00407A0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Indeks (4/3*100)</w:t>
            </w:r>
          </w:p>
        </w:tc>
      </w:tr>
      <w:tr w:rsidR="0069151F" w:rsidRPr="00407A07" w14:paraId="34886B99" w14:textId="77777777" w:rsidTr="0069151F">
        <w:trPr>
          <w:trHeight w:val="227"/>
        </w:trPr>
        <w:tc>
          <w:tcPr>
            <w:tcW w:w="2574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E7E6E6"/>
            <w:noWrap/>
            <w:vAlign w:val="center"/>
            <w:hideMark/>
          </w:tcPr>
          <w:p w14:paraId="4958E304" w14:textId="77777777" w:rsidR="00407A07" w:rsidRPr="00407A07" w:rsidRDefault="00407A07" w:rsidP="00407A0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1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vAlign w:val="center"/>
            <w:hideMark/>
          </w:tcPr>
          <w:p w14:paraId="7209FD8C" w14:textId="77777777" w:rsidR="00407A07" w:rsidRPr="00407A07" w:rsidRDefault="00407A07" w:rsidP="00407A0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2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vAlign w:val="center"/>
            <w:hideMark/>
          </w:tcPr>
          <w:p w14:paraId="0450CFAF" w14:textId="77777777" w:rsidR="00407A07" w:rsidRPr="00407A07" w:rsidRDefault="00407A07" w:rsidP="00407A0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3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vAlign w:val="center"/>
            <w:hideMark/>
          </w:tcPr>
          <w:p w14:paraId="2B3C2EBD" w14:textId="77777777" w:rsidR="00407A07" w:rsidRPr="00407A07" w:rsidRDefault="00407A07" w:rsidP="00407A0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4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E7E6E6"/>
            <w:vAlign w:val="center"/>
            <w:hideMark/>
          </w:tcPr>
          <w:p w14:paraId="3ED9CB0C" w14:textId="77777777" w:rsidR="00407A07" w:rsidRPr="00407A07" w:rsidRDefault="00407A07" w:rsidP="00407A0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5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  <w:hideMark/>
          </w:tcPr>
          <w:p w14:paraId="444F62A7" w14:textId="77777777" w:rsidR="00407A07" w:rsidRPr="00407A07" w:rsidRDefault="00407A07" w:rsidP="00407A07">
            <w:pPr>
              <w:spacing w:before="0"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6</w:t>
            </w:r>
          </w:p>
        </w:tc>
      </w:tr>
      <w:tr w:rsidR="00407A07" w:rsidRPr="00407A07" w14:paraId="1B9E04A3" w14:textId="77777777" w:rsidTr="0069151F">
        <w:trPr>
          <w:trHeight w:val="227"/>
        </w:trPr>
        <w:tc>
          <w:tcPr>
            <w:tcW w:w="2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09498A2" w14:textId="77777777" w:rsidR="00407A07" w:rsidRPr="00407A07" w:rsidRDefault="00407A07" w:rsidP="00407A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0FB066B5" w14:textId="77777777" w:rsidR="00407A07" w:rsidRPr="00407A07" w:rsidRDefault="00407A07" w:rsidP="00407A07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Izdaci za financijsku imovinu i otplate zajmova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D60D7EF" w14:textId="77777777" w:rsidR="00407A07" w:rsidRPr="00407A07" w:rsidRDefault="00407A07" w:rsidP="00407A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34.066,15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748F625" w14:textId="77777777" w:rsidR="00407A07" w:rsidRPr="00407A07" w:rsidRDefault="00407A07" w:rsidP="00407A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665.000,00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517A8E9" w14:textId="77777777" w:rsidR="00407A07" w:rsidRPr="00407A07" w:rsidRDefault="00407A07" w:rsidP="00407A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7B7A05A" w14:textId="77777777" w:rsidR="00407A07" w:rsidRPr="00407A07" w:rsidRDefault="00407A07" w:rsidP="00407A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0,00%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A8F6EE4" w14:textId="77777777" w:rsidR="00407A07" w:rsidRPr="00407A07" w:rsidRDefault="00407A07" w:rsidP="00407A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0,00%</w:t>
            </w:r>
          </w:p>
        </w:tc>
      </w:tr>
      <w:tr w:rsidR="00407A07" w:rsidRPr="00407A07" w14:paraId="1A9C1515" w14:textId="77777777" w:rsidTr="0069151F">
        <w:trPr>
          <w:trHeight w:val="227"/>
        </w:trPr>
        <w:tc>
          <w:tcPr>
            <w:tcW w:w="2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18249298" w14:textId="77777777" w:rsidR="00407A07" w:rsidRPr="00407A07" w:rsidRDefault="00407A07" w:rsidP="00407A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53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4E189F98" w14:textId="77777777" w:rsidR="00407A07" w:rsidRPr="00407A07" w:rsidRDefault="00407A07" w:rsidP="00407A07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Izdaci za ulaganja financijske instrumente – dionice i udjele u glavnici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1AF63E9" w14:textId="77777777" w:rsidR="00407A07" w:rsidRPr="00407A07" w:rsidRDefault="00407A07" w:rsidP="00407A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098A561" w14:textId="77777777" w:rsidR="00407A07" w:rsidRPr="00407A07" w:rsidRDefault="00407A07" w:rsidP="00407A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50.000,00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B0D5BDE" w14:textId="77777777" w:rsidR="00407A07" w:rsidRPr="00407A07" w:rsidRDefault="00407A07" w:rsidP="00407A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A8A477D" w14:textId="77777777" w:rsidR="00407A07" w:rsidRPr="00407A07" w:rsidRDefault="00407A07" w:rsidP="00407A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0,00%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5E55935" w14:textId="77777777" w:rsidR="00407A07" w:rsidRPr="00407A07" w:rsidRDefault="00407A07" w:rsidP="00407A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0,00%</w:t>
            </w:r>
          </w:p>
        </w:tc>
      </w:tr>
      <w:tr w:rsidR="00407A07" w:rsidRPr="00407A07" w14:paraId="478CC17C" w14:textId="77777777" w:rsidTr="0069151F">
        <w:trPr>
          <w:trHeight w:val="227"/>
        </w:trPr>
        <w:tc>
          <w:tcPr>
            <w:tcW w:w="2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0E17D66" w14:textId="77777777" w:rsidR="00407A07" w:rsidRPr="00407A07" w:rsidRDefault="00407A07" w:rsidP="00407A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532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1594A9CB" w14:textId="77777777" w:rsidR="00407A07" w:rsidRPr="00407A07" w:rsidRDefault="00407A07" w:rsidP="00407A0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Izdaci za ulaganja u dionice i udjeli u glavnici trgovačkih društava u javnom sektoru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3428E6B" w14:textId="77777777" w:rsidR="00407A07" w:rsidRPr="00407A07" w:rsidRDefault="00407A07" w:rsidP="00407A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B5E3ECB" w14:textId="77777777" w:rsidR="00407A07" w:rsidRPr="00407A07" w:rsidRDefault="00407A07" w:rsidP="00407A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99BB3C2" w14:textId="77777777" w:rsidR="00407A07" w:rsidRPr="00407A07" w:rsidRDefault="00407A07" w:rsidP="00407A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54C0B4B" w14:textId="77777777" w:rsidR="00407A07" w:rsidRPr="00407A07" w:rsidRDefault="00407A07" w:rsidP="00407A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0,00%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115A12B7" w14:textId="77777777" w:rsidR="00407A07" w:rsidRPr="00407A07" w:rsidRDefault="00407A07" w:rsidP="00407A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07A07" w:rsidRPr="00407A07" w14:paraId="76B3E8D2" w14:textId="77777777" w:rsidTr="0069151F">
        <w:trPr>
          <w:trHeight w:val="227"/>
        </w:trPr>
        <w:tc>
          <w:tcPr>
            <w:tcW w:w="2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7DE78510" w14:textId="77777777" w:rsidR="00407A07" w:rsidRPr="00407A07" w:rsidRDefault="00407A07" w:rsidP="00407A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5321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35E8C0E8" w14:textId="74120A1C" w:rsidR="00407A07" w:rsidRPr="00407A07" w:rsidRDefault="00407A07" w:rsidP="00407A0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Dionice i udjeli u glavnici trg</w:t>
            </w:r>
            <w:r w:rsidR="00DA7E96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društava u javnom sektoru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D3D5521" w14:textId="77777777" w:rsidR="00407A07" w:rsidRPr="00407A07" w:rsidRDefault="00407A07" w:rsidP="00407A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4F7AC73" w14:textId="77777777" w:rsidR="00407A07" w:rsidRPr="00407A07" w:rsidRDefault="00407A07" w:rsidP="00407A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C9FB355" w14:textId="77777777" w:rsidR="00407A07" w:rsidRPr="00407A07" w:rsidRDefault="00407A07" w:rsidP="00407A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5AFB1F2" w14:textId="77777777" w:rsidR="00407A07" w:rsidRPr="00407A07" w:rsidRDefault="00407A07" w:rsidP="00407A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0,00%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704A8A98" w14:textId="77777777" w:rsidR="00407A07" w:rsidRPr="00407A07" w:rsidRDefault="00407A07" w:rsidP="00407A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07A07" w:rsidRPr="00407A07" w14:paraId="6EEBD35A" w14:textId="77777777" w:rsidTr="0069151F">
        <w:trPr>
          <w:trHeight w:val="227"/>
        </w:trPr>
        <w:tc>
          <w:tcPr>
            <w:tcW w:w="2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EF7A703" w14:textId="77777777" w:rsidR="00407A07" w:rsidRPr="00407A07" w:rsidRDefault="00407A07" w:rsidP="00407A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54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2DCF1F7E" w14:textId="77777777" w:rsidR="00407A07" w:rsidRPr="00407A07" w:rsidRDefault="00407A07" w:rsidP="00407A07">
            <w:pPr>
              <w:spacing w:before="0"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Izdaci za otplatu glavnice primljenih kredita i zajmova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DF7F2EC" w14:textId="77777777" w:rsidR="00407A07" w:rsidRPr="00407A07" w:rsidRDefault="00407A07" w:rsidP="00407A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34.066,15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C2F32E2" w14:textId="77777777" w:rsidR="00407A07" w:rsidRPr="00407A07" w:rsidRDefault="00407A07" w:rsidP="00407A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615.000,00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9BFD85A" w14:textId="77777777" w:rsidR="00407A07" w:rsidRPr="00407A07" w:rsidRDefault="00407A07" w:rsidP="00407A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3FDBBCC7" w14:textId="77777777" w:rsidR="00407A07" w:rsidRPr="00407A07" w:rsidRDefault="00407A07" w:rsidP="00407A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0,00%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BE5EE17" w14:textId="77777777" w:rsidR="00407A07" w:rsidRPr="00407A07" w:rsidRDefault="00407A07" w:rsidP="00407A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0,00%</w:t>
            </w:r>
          </w:p>
        </w:tc>
      </w:tr>
      <w:tr w:rsidR="00407A07" w:rsidRPr="00407A07" w14:paraId="5D88E83F" w14:textId="77777777" w:rsidTr="0069151F">
        <w:trPr>
          <w:trHeight w:val="227"/>
        </w:trPr>
        <w:tc>
          <w:tcPr>
            <w:tcW w:w="2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8180C38" w14:textId="77777777" w:rsidR="00407A07" w:rsidRPr="00407A07" w:rsidRDefault="00407A07" w:rsidP="00407A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544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7D99A92A" w14:textId="77777777" w:rsidR="00407A07" w:rsidRPr="00407A07" w:rsidRDefault="00407A07" w:rsidP="00407A0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Otplata glavnice primljenih kredita i zajmova od kreditnih i ostalih financijskih institucija izvan javnog sektora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0AFBB4E2" w14:textId="77777777" w:rsidR="00407A07" w:rsidRPr="00407A07" w:rsidRDefault="00407A07" w:rsidP="00407A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26.529,64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7557090E" w14:textId="77777777" w:rsidR="00407A07" w:rsidRPr="00407A07" w:rsidRDefault="00407A07" w:rsidP="00407A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7035ED1" w14:textId="77777777" w:rsidR="00407A07" w:rsidRPr="00407A07" w:rsidRDefault="00407A07" w:rsidP="00407A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7592DCD" w14:textId="77777777" w:rsidR="00407A07" w:rsidRPr="00407A07" w:rsidRDefault="00407A07" w:rsidP="00407A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0,00%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33EDBF4" w14:textId="77777777" w:rsidR="00407A07" w:rsidRPr="00407A07" w:rsidRDefault="00407A07" w:rsidP="00407A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07A07" w:rsidRPr="00407A07" w14:paraId="10FBFD48" w14:textId="77777777" w:rsidTr="0069151F">
        <w:trPr>
          <w:trHeight w:val="227"/>
        </w:trPr>
        <w:tc>
          <w:tcPr>
            <w:tcW w:w="2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68429319" w14:textId="77777777" w:rsidR="00407A07" w:rsidRPr="00407A07" w:rsidRDefault="00407A07" w:rsidP="00407A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5443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5D121A98" w14:textId="77777777" w:rsidR="00407A07" w:rsidRPr="00407A07" w:rsidRDefault="00407A07" w:rsidP="00407A0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Otplata glavnice primljenih kredita od tuzemnih kreditnih institucija izvan javnog sektora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A93245E" w14:textId="77777777" w:rsidR="00407A07" w:rsidRPr="00407A07" w:rsidRDefault="00407A07" w:rsidP="00407A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26.529,64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9E6FA40" w14:textId="77777777" w:rsidR="00407A07" w:rsidRPr="00407A07" w:rsidRDefault="00407A07" w:rsidP="00407A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D1B2365" w14:textId="77777777" w:rsidR="00407A07" w:rsidRPr="00407A07" w:rsidRDefault="00407A07" w:rsidP="00407A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529B1BC" w14:textId="77777777" w:rsidR="00407A07" w:rsidRPr="00407A07" w:rsidRDefault="00407A07" w:rsidP="00407A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0,00%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4B943D2E" w14:textId="77777777" w:rsidR="00407A07" w:rsidRPr="00407A07" w:rsidRDefault="00407A07" w:rsidP="00407A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07A07" w:rsidRPr="00407A07" w14:paraId="5417AD78" w14:textId="77777777" w:rsidTr="0069151F">
        <w:trPr>
          <w:trHeight w:val="227"/>
        </w:trPr>
        <w:tc>
          <w:tcPr>
            <w:tcW w:w="2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E307864" w14:textId="77777777" w:rsidR="00407A07" w:rsidRPr="00407A07" w:rsidRDefault="00407A07" w:rsidP="00407A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547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148767E0" w14:textId="26E1330F" w:rsidR="00407A07" w:rsidRPr="00407A07" w:rsidRDefault="00407A07" w:rsidP="00407A0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Otplata glavnice primljenih zajmova od dr</w:t>
            </w:r>
            <w:r w:rsidR="00DA7E96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razina vlasti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29A8C428" w14:textId="77777777" w:rsidR="00407A07" w:rsidRPr="00407A07" w:rsidRDefault="00407A07" w:rsidP="00407A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7.536,51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A7A0CD2" w14:textId="77777777" w:rsidR="00407A07" w:rsidRPr="00407A07" w:rsidRDefault="00407A07" w:rsidP="00407A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74AA968" w14:textId="77777777" w:rsidR="00407A07" w:rsidRPr="00407A07" w:rsidRDefault="00407A07" w:rsidP="00407A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651E1CF" w14:textId="77777777" w:rsidR="00407A07" w:rsidRPr="00407A07" w:rsidRDefault="00407A07" w:rsidP="00407A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0,00%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E5092AC" w14:textId="77777777" w:rsidR="00407A07" w:rsidRPr="00407A07" w:rsidRDefault="00407A07" w:rsidP="00407A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407A07" w:rsidRPr="00407A07" w14:paraId="0BBB9E49" w14:textId="77777777" w:rsidTr="0069151F">
        <w:trPr>
          <w:trHeight w:val="227"/>
        </w:trPr>
        <w:tc>
          <w:tcPr>
            <w:tcW w:w="27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14:paraId="2B66BE65" w14:textId="77777777" w:rsidR="00407A07" w:rsidRPr="00407A07" w:rsidRDefault="00407A07" w:rsidP="00407A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5471</w:t>
            </w:r>
          </w:p>
        </w:tc>
        <w:tc>
          <w:tcPr>
            <w:tcW w:w="230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hideMark/>
          </w:tcPr>
          <w:p w14:paraId="1FA2EE74" w14:textId="4967C833" w:rsidR="00407A07" w:rsidRPr="00407A07" w:rsidRDefault="00407A07" w:rsidP="00407A07">
            <w:pPr>
              <w:spacing w:before="0"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Otplata glavnice primljenih zajmova od </w:t>
            </w:r>
            <w:proofErr w:type="spellStart"/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držav</w:t>
            </w:r>
            <w:proofErr w:type="spellEnd"/>
            <w:r w:rsidR="00DA7E96">
              <w:rPr>
                <w:rFonts w:ascii="Calibri" w:eastAsia="Times New Roman" w:hAnsi="Calibri" w:cs="Calibri"/>
                <w:color w:val="000000"/>
                <w:lang w:eastAsia="hr-HR"/>
              </w:rPr>
              <w:t>.</w:t>
            </w: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proračuna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48A28FBD" w14:textId="77777777" w:rsidR="00407A07" w:rsidRPr="00407A07" w:rsidRDefault="00407A07" w:rsidP="00407A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7.536,51</w:t>
            </w:r>
          </w:p>
        </w:tc>
        <w:tc>
          <w:tcPr>
            <w:tcW w:w="54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1F7116F6" w14:textId="77777777" w:rsidR="00407A07" w:rsidRPr="00407A07" w:rsidRDefault="00407A07" w:rsidP="00407A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47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508A91EA" w14:textId="77777777" w:rsidR="00407A07" w:rsidRPr="00407A07" w:rsidRDefault="00407A07" w:rsidP="00407A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0,00</w:t>
            </w:r>
          </w:p>
        </w:tc>
        <w:tc>
          <w:tcPr>
            <w:tcW w:w="474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vAlign w:val="bottom"/>
            <w:hideMark/>
          </w:tcPr>
          <w:p w14:paraId="6F0CA0D6" w14:textId="77777777" w:rsidR="00407A07" w:rsidRPr="00407A07" w:rsidRDefault="00407A07" w:rsidP="00407A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0,00%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528321FC" w14:textId="77777777" w:rsidR="00407A07" w:rsidRPr="00407A07" w:rsidRDefault="00407A07" w:rsidP="00407A07">
            <w:pPr>
              <w:spacing w:before="0"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407A07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</w:tbl>
    <w:p w14:paraId="4104209F" w14:textId="77777777" w:rsidR="00DE6F4E" w:rsidRPr="00DE6F4E" w:rsidRDefault="00DE6F4E" w:rsidP="00DE6F4E">
      <w:pPr>
        <w:spacing w:before="120" w:after="120" w:line="240" w:lineRule="auto"/>
        <w:jc w:val="both"/>
        <w:rPr>
          <w:rFonts w:cstheme="majorHAnsi"/>
          <w:b/>
          <w:sz w:val="22"/>
          <w:szCs w:val="22"/>
        </w:rPr>
      </w:pPr>
    </w:p>
    <w:p w14:paraId="56644EE0" w14:textId="77777777" w:rsidR="00DE6F4E" w:rsidRPr="00DE6F4E" w:rsidRDefault="00DE6F4E" w:rsidP="00DE6F4E">
      <w:pPr>
        <w:spacing w:before="120" w:after="120" w:line="240" w:lineRule="auto"/>
        <w:jc w:val="both"/>
        <w:rPr>
          <w:rFonts w:cstheme="majorHAnsi"/>
          <w:b/>
          <w:sz w:val="22"/>
          <w:szCs w:val="22"/>
        </w:rPr>
      </w:pPr>
    </w:p>
    <w:p w14:paraId="6132BC6B" w14:textId="77777777" w:rsidR="00DE6F4E" w:rsidRPr="00DE6F4E" w:rsidRDefault="00DE6F4E" w:rsidP="00DE6F4E">
      <w:pPr>
        <w:numPr>
          <w:ilvl w:val="0"/>
          <w:numId w:val="4"/>
        </w:numPr>
        <w:pBdr>
          <w:top w:val="single" w:sz="24" w:space="0" w:color="5B9BD5" w:themeColor="accent1"/>
          <w:left w:val="single" w:sz="24" w:space="0" w:color="5B9BD5" w:themeColor="accent1"/>
          <w:bottom w:val="single" w:sz="24" w:space="0" w:color="5B9BD5" w:themeColor="accent1"/>
          <w:right w:val="single" w:sz="24" w:space="0" w:color="5B9BD5" w:themeColor="accent1"/>
        </w:pBdr>
        <w:shd w:val="clear" w:color="auto" w:fill="5B9BD5" w:themeFill="accent1"/>
        <w:spacing w:before="0" w:after="120"/>
        <w:outlineLvl w:val="0"/>
        <w:rPr>
          <w:rFonts w:cstheme="majorHAnsi"/>
          <w:b/>
          <w:caps/>
          <w:color w:val="FFFFFF" w:themeColor="background1"/>
          <w:spacing w:val="15"/>
          <w:sz w:val="22"/>
          <w:szCs w:val="22"/>
        </w:rPr>
      </w:pPr>
      <w:bookmarkStart w:id="33" w:name="_Toc208403735"/>
      <w:bookmarkStart w:id="34" w:name="_Toc209436512"/>
      <w:r w:rsidRPr="00DE6F4E">
        <w:rPr>
          <w:rFonts w:cstheme="majorHAnsi"/>
          <w:b/>
          <w:caps/>
          <w:color w:val="FFFFFF" w:themeColor="background1"/>
          <w:spacing w:val="15"/>
          <w:sz w:val="22"/>
          <w:szCs w:val="22"/>
        </w:rPr>
        <w:t>Posebni izvještaji u Polugodišnjem izvještaju o izvršenju Proračuna</w:t>
      </w:r>
      <w:bookmarkEnd w:id="33"/>
      <w:bookmarkEnd w:id="34"/>
    </w:p>
    <w:p w14:paraId="727334ED" w14:textId="77777777" w:rsidR="00DE6F4E" w:rsidRPr="00DE6F4E" w:rsidRDefault="00DE6F4E" w:rsidP="00DE6F4E">
      <w:pPr>
        <w:spacing w:before="0" w:after="120"/>
        <w:rPr>
          <w:rFonts w:cstheme="majorHAnsi"/>
          <w:sz w:val="22"/>
        </w:rPr>
      </w:pPr>
    </w:p>
    <w:p w14:paraId="48C2630E" w14:textId="77777777" w:rsidR="00DE6F4E" w:rsidRPr="00DE6F4E" w:rsidRDefault="00DE6F4E" w:rsidP="00DE6F4E">
      <w:pPr>
        <w:numPr>
          <w:ilvl w:val="1"/>
          <w:numId w:val="4"/>
        </w:numPr>
        <w:pBdr>
          <w:top w:val="single" w:sz="24" w:space="0" w:color="DEEAF6" w:themeColor="accent1" w:themeTint="33"/>
          <w:left w:val="single" w:sz="24" w:space="0" w:color="DEEAF6" w:themeColor="accent1" w:themeTint="33"/>
          <w:bottom w:val="single" w:sz="24" w:space="0" w:color="DEEAF6" w:themeColor="accent1" w:themeTint="33"/>
          <w:right w:val="single" w:sz="24" w:space="0" w:color="DEEAF6" w:themeColor="accent1" w:themeTint="33"/>
        </w:pBdr>
        <w:shd w:val="clear" w:color="auto" w:fill="DEEAF6" w:themeFill="accent1" w:themeFillTint="33"/>
        <w:spacing w:before="0" w:after="120"/>
        <w:ind w:left="432"/>
        <w:outlineLvl w:val="1"/>
        <w:rPr>
          <w:rFonts w:cstheme="majorHAnsi"/>
          <w:b/>
          <w:caps/>
          <w:spacing w:val="15"/>
          <w:sz w:val="22"/>
        </w:rPr>
      </w:pPr>
      <w:bookmarkStart w:id="35" w:name="_Toc208403736"/>
      <w:bookmarkStart w:id="36" w:name="_Toc209436513"/>
      <w:bookmarkStart w:id="37" w:name="_GoBack"/>
      <w:bookmarkEnd w:id="37"/>
      <w:r w:rsidRPr="00DE6F4E">
        <w:rPr>
          <w:rFonts w:cstheme="majorHAnsi"/>
          <w:b/>
          <w:caps/>
          <w:spacing w:val="15"/>
          <w:sz w:val="22"/>
        </w:rPr>
        <w:t>IZVJEŠTAJ O KORIŠTENJU SREDSTAVA PRORAČUNSKE ZALIHE</w:t>
      </w:r>
      <w:bookmarkEnd w:id="35"/>
      <w:bookmarkEnd w:id="36"/>
    </w:p>
    <w:p w14:paraId="645EECC5" w14:textId="77777777" w:rsidR="00DE6F4E" w:rsidRPr="00DE6F4E" w:rsidRDefault="00DE6F4E" w:rsidP="00DE6F4E">
      <w:pPr>
        <w:spacing w:before="0" w:after="120" w:line="240" w:lineRule="auto"/>
        <w:jc w:val="both"/>
        <w:rPr>
          <w:rFonts w:cstheme="majorHAnsi"/>
          <w:sz w:val="22"/>
        </w:rPr>
      </w:pPr>
      <w:r w:rsidRPr="00DE6F4E">
        <w:rPr>
          <w:rFonts w:cstheme="majorHAnsi"/>
          <w:sz w:val="22"/>
          <w:szCs w:val="22"/>
        </w:rPr>
        <w:t>U izvještajnom razdoblju Općina Levanjska Varoš nije koristila sredstava proračunske zalihe.</w:t>
      </w:r>
    </w:p>
    <w:p w14:paraId="28AE35DB" w14:textId="77777777" w:rsidR="00DE6F4E" w:rsidRPr="00DE6F4E" w:rsidRDefault="00DE6F4E" w:rsidP="00DE6F4E">
      <w:pPr>
        <w:spacing w:before="0" w:after="120" w:line="240" w:lineRule="auto"/>
        <w:jc w:val="both"/>
        <w:rPr>
          <w:rFonts w:cstheme="majorHAnsi"/>
          <w:sz w:val="22"/>
          <w:szCs w:val="22"/>
        </w:rPr>
      </w:pPr>
    </w:p>
    <w:p w14:paraId="3E54E8CD" w14:textId="77777777" w:rsidR="00DE6F4E" w:rsidRPr="00DE6F4E" w:rsidRDefault="00DE6F4E" w:rsidP="00DE6F4E">
      <w:pPr>
        <w:numPr>
          <w:ilvl w:val="1"/>
          <w:numId w:val="4"/>
        </w:numPr>
        <w:pBdr>
          <w:top w:val="single" w:sz="24" w:space="0" w:color="DEEAF6" w:themeColor="accent1" w:themeTint="33"/>
          <w:left w:val="single" w:sz="24" w:space="0" w:color="DEEAF6" w:themeColor="accent1" w:themeTint="33"/>
          <w:bottom w:val="single" w:sz="24" w:space="0" w:color="DEEAF6" w:themeColor="accent1" w:themeTint="33"/>
          <w:right w:val="single" w:sz="24" w:space="0" w:color="DEEAF6" w:themeColor="accent1" w:themeTint="33"/>
        </w:pBdr>
        <w:shd w:val="clear" w:color="auto" w:fill="DEEAF6" w:themeFill="accent1" w:themeFillTint="33"/>
        <w:spacing w:before="0" w:after="120"/>
        <w:ind w:left="432"/>
        <w:outlineLvl w:val="1"/>
        <w:rPr>
          <w:rFonts w:cstheme="majorHAnsi"/>
          <w:b/>
          <w:caps/>
          <w:spacing w:val="15"/>
          <w:sz w:val="22"/>
          <w:lang w:eastAsia="hr-HR"/>
        </w:rPr>
      </w:pPr>
      <w:bookmarkStart w:id="38" w:name="_Toc208403737"/>
      <w:bookmarkStart w:id="39" w:name="_Toc209436514"/>
      <w:r w:rsidRPr="00DE6F4E">
        <w:rPr>
          <w:rFonts w:cstheme="majorHAnsi"/>
          <w:b/>
          <w:caps/>
          <w:spacing w:val="15"/>
          <w:sz w:val="22"/>
          <w:lang w:eastAsia="hr-HR"/>
        </w:rPr>
        <w:t>IZVJEŠTAJ O ZADUŽIVANJU NA DOMAĆEM I STRANOM TRŽIŠTU NOVCA I KAPITALA</w:t>
      </w:r>
      <w:bookmarkEnd w:id="38"/>
      <w:bookmarkEnd w:id="39"/>
    </w:p>
    <w:p w14:paraId="5A73DCEF" w14:textId="77777777" w:rsidR="00DE6F4E" w:rsidRPr="00DE6F4E" w:rsidRDefault="00DE6F4E" w:rsidP="00DE6F4E">
      <w:pPr>
        <w:spacing w:before="0" w:after="120" w:line="240" w:lineRule="auto"/>
        <w:jc w:val="both"/>
        <w:rPr>
          <w:rFonts w:cstheme="majorHAnsi"/>
          <w:sz w:val="22"/>
          <w:szCs w:val="22"/>
          <w:lang w:eastAsia="hr-HR"/>
        </w:rPr>
      </w:pPr>
      <w:r w:rsidRPr="00DE6F4E">
        <w:rPr>
          <w:rFonts w:cstheme="majorHAnsi"/>
          <w:sz w:val="22"/>
          <w:szCs w:val="22"/>
          <w:lang w:eastAsia="hr-HR"/>
        </w:rPr>
        <w:t>Pravilnikom o polugodišnjem i godišnjem izvještaju o izvršenju proračuna i financijskog plana (Narodne novine, broj 85/23), propisano je da polugodišnji izvještaj o zaduživanju na domaćem i stranom tržištu novca i kapitala sadrži pregled zaduživanja po dugoročnim kreditima, zajmovima i vrijednosnim papirima koje je ugovorila jedinica lokalne i područne (regionalne) samouprave u izvještajnom razdoblju po vrsti instrumenata, valutnoj, kamatnoj i ročnoj strukturi.</w:t>
      </w:r>
    </w:p>
    <w:p w14:paraId="29EF9C36" w14:textId="77777777" w:rsidR="00DE6F4E" w:rsidRPr="00DE6F4E" w:rsidRDefault="00DE6F4E" w:rsidP="00DE6F4E">
      <w:pPr>
        <w:spacing w:before="0" w:after="120" w:line="240" w:lineRule="auto"/>
        <w:jc w:val="both"/>
        <w:rPr>
          <w:rFonts w:eastAsia="Times New Roman" w:cstheme="majorHAnsi"/>
          <w:sz w:val="22"/>
          <w:szCs w:val="22"/>
          <w:lang w:eastAsia="hr-HR"/>
        </w:rPr>
      </w:pPr>
      <w:r w:rsidRPr="00DE6F4E">
        <w:rPr>
          <w:rFonts w:eastAsia="Times New Roman" w:cstheme="majorHAnsi"/>
          <w:sz w:val="22"/>
          <w:szCs w:val="22"/>
          <w:lang w:eastAsia="hr-HR"/>
        </w:rPr>
        <w:t>U prvoj polovici 2025. godine ugovoren je kratkoročni kredit Croatia banke u iznosu od 175.000,00 eura uz promjenjivu kamatnu stopu od 6,50%, s rokom korištenja do 15.12.2025. godine, u svrhu premošćivanja privremene nelikvidnosti prilikom provođenja kapitalnih projekata. Tijekom izvještajnog razdoblja iskorišteno je 90.000,00 eura.</w:t>
      </w:r>
    </w:p>
    <w:p w14:paraId="68487FDB" w14:textId="77777777" w:rsidR="00DE6F4E" w:rsidRPr="00DE6F4E" w:rsidRDefault="00DE6F4E" w:rsidP="00DE6F4E">
      <w:pPr>
        <w:spacing w:before="0" w:after="120"/>
        <w:rPr>
          <w:rFonts w:cstheme="majorHAnsi"/>
          <w:sz w:val="22"/>
        </w:rPr>
      </w:pPr>
    </w:p>
    <w:p w14:paraId="405DF643" w14:textId="77777777" w:rsidR="00DE6F4E" w:rsidRPr="00DE6F4E" w:rsidRDefault="00DE6F4E" w:rsidP="00DE6F4E">
      <w:pPr>
        <w:numPr>
          <w:ilvl w:val="1"/>
          <w:numId w:val="4"/>
        </w:numPr>
        <w:pBdr>
          <w:top w:val="single" w:sz="24" w:space="0" w:color="DEEAF6" w:themeColor="accent1" w:themeTint="33"/>
          <w:left w:val="single" w:sz="24" w:space="0" w:color="DEEAF6" w:themeColor="accent1" w:themeTint="33"/>
          <w:bottom w:val="single" w:sz="24" w:space="0" w:color="DEEAF6" w:themeColor="accent1" w:themeTint="33"/>
          <w:right w:val="single" w:sz="24" w:space="0" w:color="DEEAF6" w:themeColor="accent1" w:themeTint="33"/>
        </w:pBdr>
        <w:shd w:val="clear" w:color="auto" w:fill="DEEAF6" w:themeFill="accent1" w:themeFillTint="33"/>
        <w:spacing w:before="0" w:after="120"/>
        <w:ind w:left="432"/>
        <w:outlineLvl w:val="1"/>
        <w:rPr>
          <w:rFonts w:cstheme="majorHAnsi"/>
          <w:b/>
          <w:caps/>
          <w:spacing w:val="15"/>
          <w:sz w:val="22"/>
        </w:rPr>
      </w:pPr>
      <w:bookmarkStart w:id="40" w:name="_Toc208403738"/>
      <w:bookmarkStart w:id="41" w:name="_Toc209436515"/>
      <w:r w:rsidRPr="00DE6F4E">
        <w:rPr>
          <w:rFonts w:cstheme="majorHAnsi"/>
          <w:b/>
          <w:caps/>
          <w:spacing w:val="15"/>
          <w:sz w:val="22"/>
        </w:rPr>
        <w:t>IZVJEŠTAJ O DANIM JAMSTVIMA I IZDACIMA PO DANIM JAMSTVIMA</w:t>
      </w:r>
      <w:bookmarkEnd w:id="40"/>
      <w:bookmarkEnd w:id="41"/>
    </w:p>
    <w:p w14:paraId="5F628E4C" w14:textId="21EA9F8B" w:rsidR="00DE6F4E" w:rsidRPr="00DE6F4E" w:rsidRDefault="00DE6F4E" w:rsidP="00DE6F4E">
      <w:pPr>
        <w:spacing w:before="0" w:after="120" w:line="240" w:lineRule="auto"/>
        <w:jc w:val="both"/>
        <w:rPr>
          <w:rFonts w:cstheme="majorHAnsi"/>
          <w:sz w:val="22"/>
          <w:szCs w:val="22"/>
        </w:rPr>
      </w:pPr>
      <w:r w:rsidRPr="00DE6F4E">
        <w:rPr>
          <w:rFonts w:cstheme="majorHAnsi"/>
          <w:sz w:val="22"/>
          <w:szCs w:val="22"/>
        </w:rPr>
        <w:t>U izvještajnom razdoblju Općina Levanjska Varoš nije davala jamstva niti je imala troškove po danim jamstvima.</w:t>
      </w:r>
    </w:p>
    <w:sectPr w:rsidR="00DE6F4E" w:rsidRPr="00DE6F4E" w:rsidSect="0069151F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A49014" w14:textId="77777777" w:rsidR="008D7963" w:rsidRDefault="008D7963" w:rsidP="009A54E3">
      <w:pPr>
        <w:spacing w:after="0" w:line="240" w:lineRule="auto"/>
      </w:pPr>
      <w:r>
        <w:separator/>
      </w:r>
    </w:p>
  </w:endnote>
  <w:endnote w:type="continuationSeparator" w:id="0">
    <w:p w14:paraId="0E2672A6" w14:textId="77777777" w:rsidR="008D7963" w:rsidRDefault="008D7963" w:rsidP="009A54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A6F002" w14:textId="0A075CC6" w:rsidR="000B72F4" w:rsidRDefault="000B72F4">
    <w:pPr>
      <w:pStyle w:val="Podnoje"/>
      <w:jc w:val="right"/>
    </w:pPr>
  </w:p>
  <w:p w14:paraId="24D6F330" w14:textId="77777777" w:rsidR="000B72F4" w:rsidRDefault="000B72F4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879022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EC071A" w14:textId="77777777" w:rsidR="000B72F4" w:rsidRDefault="000B72F4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5F7732" w14:textId="77777777" w:rsidR="008D7963" w:rsidRDefault="008D7963" w:rsidP="009A54E3">
      <w:pPr>
        <w:spacing w:after="0" w:line="240" w:lineRule="auto"/>
      </w:pPr>
      <w:r>
        <w:separator/>
      </w:r>
    </w:p>
  </w:footnote>
  <w:footnote w:type="continuationSeparator" w:id="0">
    <w:p w14:paraId="6D0E167F" w14:textId="77777777" w:rsidR="008D7963" w:rsidRDefault="008D7963" w:rsidP="009A54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F130D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696D8C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81F3B53"/>
    <w:multiLevelType w:val="multilevel"/>
    <w:tmpl w:val="BC628D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22D05"/>
    <w:multiLevelType w:val="hybridMultilevel"/>
    <w:tmpl w:val="438A8578"/>
    <w:lvl w:ilvl="0" w:tplc="9BFC7B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760E7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A3234E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A3A519D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A531CB8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B431D5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2C090109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3550B56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59C6E8F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6423E31"/>
    <w:multiLevelType w:val="hybridMultilevel"/>
    <w:tmpl w:val="D608AE44"/>
    <w:lvl w:ilvl="0" w:tplc="4594AB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574ECA6">
      <w:numFmt w:val="bullet"/>
      <w:lvlText w:val="•"/>
      <w:lvlJc w:val="left"/>
      <w:pPr>
        <w:ind w:left="1785" w:hanging="705"/>
      </w:pPr>
      <w:rPr>
        <w:rFonts w:ascii="Calibri" w:eastAsiaTheme="minorEastAsia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9E2F31"/>
    <w:multiLevelType w:val="hybridMultilevel"/>
    <w:tmpl w:val="BC628D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5448A6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F597BD8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3FB71236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16C0379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3DA3BD6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7BB03A9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941FBE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B717D16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C8D6F59"/>
    <w:multiLevelType w:val="hybridMultilevel"/>
    <w:tmpl w:val="5E682282"/>
    <w:lvl w:ilvl="0" w:tplc="4594AB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F45E58"/>
    <w:multiLevelType w:val="hybridMultilevel"/>
    <w:tmpl w:val="571054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397139"/>
    <w:multiLevelType w:val="hybridMultilevel"/>
    <w:tmpl w:val="B9BCD48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37770C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5163081F"/>
    <w:multiLevelType w:val="hybridMultilevel"/>
    <w:tmpl w:val="9D8C6A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643F6A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582F5949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8806A48"/>
    <w:multiLevelType w:val="hybridMultilevel"/>
    <w:tmpl w:val="53987D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AE2303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5E8556D1"/>
    <w:multiLevelType w:val="hybridMultilevel"/>
    <w:tmpl w:val="A894D95E"/>
    <w:lvl w:ilvl="0" w:tplc="4594AB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8672F2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FE5272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4752910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C1F380A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D411B5A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78D40B1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94F1322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5C3EC8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8"/>
  </w:num>
  <w:num w:numId="2">
    <w:abstractNumId w:val="3"/>
  </w:num>
  <w:num w:numId="3">
    <w:abstractNumId w:val="22"/>
  </w:num>
  <w:num w:numId="4">
    <w:abstractNumId w:val="39"/>
  </w:num>
  <w:num w:numId="5">
    <w:abstractNumId w:val="12"/>
  </w:num>
  <w:num w:numId="6">
    <w:abstractNumId w:val="29"/>
  </w:num>
  <w:num w:numId="7">
    <w:abstractNumId w:val="36"/>
  </w:num>
  <w:num w:numId="8">
    <w:abstractNumId w:val="27"/>
  </w:num>
  <w:num w:numId="9">
    <w:abstractNumId w:val="38"/>
  </w:num>
  <w:num w:numId="10">
    <w:abstractNumId w:val="9"/>
  </w:num>
  <w:num w:numId="11">
    <w:abstractNumId w:val="30"/>
  </w:num>
  <w:num w:numId="12">
    <w:abstractNumId w:val="33"/>
  </w:num>
  <w:num w:numId="13">
    <w:abstractNumId w:val="19"/>
  </w:num>
  <w:num w:numId="14">
    <w:abstractNumId w:val="14"/>
  </w:num>
  <w:num w:numId="15">
    <w:abstractNumId w:val="31"/>
  </w:num>
  <w:num w:numId="16">
    <w:abstractNumId w:val="32"/>
  </w:num>
  <w:num w:numId="17">
    <w:abstractNumId w:val="7"/>
  </w:num>
  <w:num w:numId="18">
    <w:abstractNumId w:val="16"/>
  </w:num>
  <w:num w:numId="19">
    <w:abstractNumId w:val="25"/>
  </w:num>
  <w:num w:numId="20">
    <w:abstractNumId w:val="17"/>
  </w:num>
  <w:num w:numId="21">
    <w:abstractNumId w:val="10"/>
  </w:num>
  <w:num w:numId="22">
    <w:abstractNumId w:val="11"/>
  </w:num>
  <w:num w:numId="23">
    <w:abstractNumId w:val="1"/>
  </w:num>
  <w:num w:numId="24">
    <w:abstractNumId w:val="6"/>
  </w:num>
  <w:num w:numId="25">
    <w:abstractNumId w:val="8"/>
  </w:num>
  <w:num w:numId="26">
    <w:abstractNumId w:val="37"/>
  </w:num>
  <w:num w:numId="27">
    <w:abstractNumId w:val="35"/>
  </w:num>
  <w:num w:numId="28">
    <w:abstractNumId w:val="5"/>
  </w:num>
  <w:num w:numId="29">
    <w:abstractNumId w:val="18"/>
  </w:num>
  <w:num w:numId="30">
    <w:abstractNumId w:val="15"/>
  </w:num>
  <w:num w:numId="31">
    <w:abstractNumId w:val="20"/>
  </w:num>
  <w:num w:numId="32">
    <w:abstractNumId w:val="0"/>
  </w:num>
  <w:num w:numId="33">
    <w:abstractNumId w:val="24"/>
  </w:num>
  <w:num w:numId="34">
    <w:abstractNumId w:val="13"/>
  </w:num>
  <w:num w:numId="35">
    <w:abstractNumId w:val="2"/>
  </w:num>
  <w:num w:numId="36">
    <w:abstractNumId w:val="23"/>
  </w:num>
  <w:num w:numId="37">
    <w:abstractNumId w:val="26"/>
  </w:num>
  <w:num w:numId="3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1"/>
  </w:num>
  <w:num w:numId="40">
    <w:abstractNumId w:val="4"/>
  </w:num>
  <w:num w:numId="41">
    <w:abstractNumId w:val="3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B7A"/>
    <w:rsid w:val="00000576"/>
    <w:rsid w:val="00010020"/>
    <w:rsid w:val="00010E7B"/>
    <w:rsid w:val="0001419E"/>
    <w:rsid w:val="00014669"/>
    <w:rsid w:val="000163DD"/>
    <w:rsid w:val="00016C99"/>
    <w:rsid w:val="00017652"/>
    <w:rsid w:val="00023CB8"/>
    <w:rsid w:val="00023F08"/>
    <w:rsid w:val="000269E3"/>
    <w:rsid w:val="000316D8"/>
    <w:rsid w:val="00043D16"/>
    <w:rsid w:val="00045987"/>
    <w:rsid w:val="000518BD"/>
    <w:rsid w:val="00060860"/>
    <w:rsid w:val="00070EBB"/>
    <w:rsid w:val="000729BA"/>
    <w:rsid w:val="0008404E"/>
    <w:rsid w:val="00084D94"/>
    <w:rsid w:val="00090D6F"/>
    <w:rsid w:val="00090FB6"/>
    <w:rsid w:val="00093626"/>
    <w:rsid w:val="000A7667"/>
    <w:rsid w:val="000B12CA"/>
    <w:rsid w:val="000B72F4"/>
    <w:rsid w:val="000C0CBA"/>
    <w:rsid w:val="000C0F8F"/>
    <w:rsid w:val="000C381B"/>
    <w:rsid w:val="000C59A8"/>
    <w:rsid w:val="000C7768"/>
    <w:rsid w:val="000D26DF"/>
    <w:rsid w:val="000E2AB3"/>
    <w:rsid w:val="000E3498"/>
    <w:rsid w:val="000F0E7D"/>
    <w:rsid w:val="000F3E2C"/>
    <w:rsid w:val="001003A2"/>
    <w:rsid w:val="001003E5"/>
    <w:rsid w:val="00102A00"/>
    <w:rsid w:val="00102A1B"/>
    <w:rsid w:val="00104C6B"/>
    <w:rsid w:val="00106E3A"/>
    <w:rsid w:val="00110C37"/>
    <w:rsid w:val="001125F1"/>
    <w:rsid w:val="0011375A"/>
    <w:rsid w:val="001154A3"/>
    <w:rsid w:val="00117578"/>
    <w:rsid w:val="0013136E"/>
    <w:rsid w:val="00132BCA"/>
    <w:rsid w:val="0013341B"/>
    <w:rsid w:val="00133D7D"/>
    <w:rsid w:val="00140F2C"/>
    <w:rsid w:val="00142DF1"/>
    <w:rsid w:val="001439BF"/>
    <w:rsid w:val="00145FEA"/>
    <w:rsid w:val="001512CE"/>
    <w:rsid w:val="00154587"/>
    <w:rsid w:val="001561B9"/>
    <w:rsid w:val="001617F4"/>
    <w:rsid w:val="00161D46"/>
    <w:rsid w:val="00165728"/>
    <w:rsid w:val="00167DA1"/>
    <w:rsid w:val="001707FD"/>
    <w:rsid w:val="001729C5"/>
    <w:rsid w:val="00177484"/>
    <w:rsid w:val="00181225"/>
    <w:rsid w:val="00190A9F"/>
    <w:rsid w:val="00190ECE"/>
    <w:rsid w:val="001924E7"/>
    <w:rsid w:val="00193062"/>
    <w:rsid w:val="001B1D06"/>
    <w:rsid w:val="001B468C"/>
    <w:rsid w:val="001B57AF"/>
    <w:rsid w:val="001B6CF7"/>
    <w:rsid w:val="001C3A02"/>
    <w:rsid w:val="001E787F"/>
    <w:rsid w:val="001F0678"/>
    <w:rsid w:val="001F3CBE"/>
    <w:rsid w:val="002102E2"/>
    <w:rsid w:val="00220F01"/>
    <w:rsid w:val="00223645"/>
    <w:rsid w:val="00226A56"/>
    <w:rsid w:val="00231A39"/>
    <w:rsid w:val="002324AF"/>
    <w:rsid w:val="00236872"/>
    <w:rsid w:val="00247220"/>
    <w:rsid w:val="00250D2E"/>
    <w:rsid w:val="00250FAA"/>
    <w:rsid w:val="002531E7"/>
    <w:rsid w:val="00257941"/>
    <w:rsid w:val="00267830"/>
    <w:rsid w:val="0027166B"/>
    <w:rsid w:val="00274052"/>
    <w:rsid w:val="00274319"/>
    <w:rsid w:val="00274995"/>
    <w:rsid w:val="00275734"/>
    <w:rsid w:val="0028075A"/>
    <w:rsid w:val="00284651"/>
    <w:rsid w:val="00286149"/>
    <w:rsid w:val="002A4555"/>
    <w:rsid w:val="002A5EEE"/>
    <w:rsid w:val="002A5FE9"/>
    <w:rsid w:val="002A6BB5"/>
    <w:rsid w:val="002A711E"/>
    <w:rsid w:val="002A7D83"/>
    <w:rsid w:val="002B4455"/>
    <w:rsid w:val="002B59CD"/>
    <w:rsid w:val="002B6962"/>
    <w:rsid w:val="002B6C48"/>
    <w:rsid w:val="002C0047"/>
    <w:rsid w:val="002C2441"/>
    <w:rsid w:val="002C4342"/>
    <w:rsid w:val="002C45BB"/>
    <w:rsid w:val="002C4EDF"/>
    <w:rsid w:val="002C5D6D"/>
    <w:rsid w:val="002C7635"/>
    <w:rsid w:val="002D3B1A"/>
    <w:rsid w:val="002E3A5F"/>
    <w:rsid w:val="002E5E6E"/>
    <w:rsid w:val="002F0C3D"/>
    <w:rsid w:val="002F0C4B"/>
    <w:rsid w:val="002F1CBE"/>
    <w:rsid w:val="002F4A3A"/>
    <w:rsid w:val="002F7631"/>
    <w:rsid w:val="00301A5D"/>
    <w:rsid w:val="003021F3"/>
    <w:rsid w:val="0030282E"/>
    <w:rsid w:val="00304651"/>
    <w:rsid w:val="00305607"/>
    <w:rsid w:val="00305F03"/>
    <w:rsid w:val="00310DB6"/>
    <w:rsid w:val="00317C52"/>
    <w:rsid w:val="00317C8F"/>
    <w:rsid w:val="00324960"/>
    <w:rsid w:val="0032607B"/>
    <w:rsid w:val="00327ABF"/>
    <w:rsid w:val="00331E1E"/>
    <w:rsid w:val="003325B3"/>
    <w:rsid w:val="003348CE"/>
    <w:rsid w:val="00336A6C"/>
    <w:rsid w:val="0036018D"/>
    <w:rsid w:val="00363438"/>
    <w:rsid w:val="00364101"/>
    <w:rsid w:val="00374013"/>
    <w:rsid w:val="00374739"/>
    <w:rsid w:val="00375BA8"/>
    <w:rsid w:val="00375E86"/>
    <w:rsid w:val="00376643"/>
    <w:rsid w:val="00376A90"/>
    <w:rsid w:val="00387510"/>
    <w:rsid w:val="00393CA1"/>
    <w:rsid w:val="00395275"/>
    <w:rsid w:val="003A0F5F"/>
    <w:rsid w:val="003A4D0F"/>
    <w:rsid w:val="003A5A5C"/>
    <w:rsid w:val="003A68BE"/>
    <w:rsid w:val="003A7FD6"/>
    <w:rsid w:val="003B1847"/>
    <w:rsid w:val="003B1AA8"/>
    <w:rsid w:val="003B3C82"/>
    <w:rsid w:val="003B42B6"/>
    <w:rsid w:val="003B4D0E"/>
    <w:rsid w:val="003B7416"/>
    <w:rsid w:val="003C1908"/>
    <w:rsid w:val="003C5D8E"/>
    <w:rsid w:val="003C6F29"/>
    <w:rsid w:val="003E0DE0"/>
    <w:rsid w:val="003E322D"/>
    <w:rsid w:val="003E3931"/>
    <w:rsid w:val="003E3D29"/>
    <w:rsid w:val="003E543E"/>
    <w:rsid w:val="00402CB5"/>
    <w:rsid w:val="004036CF"/>
    <w:rsid w:val="00407245"/>
    <w:rsid w:val="00407A07"/>
    <w:rsid w:val="00410EC1"/>
    <w:rsid w:val="00411704"/>
    <w:rsid w:val="00425AA8"/>
    <w:rsid w:val="00434207"/>
    <w:rsid w:val="00442B6B"/>
    <w:rsid w:val="0044363F"/>
    <w:rsid w:val="00450368"/>
    <w:rsid w:val="00451393"/>
    <w:rsid w:val="0045314E"/>
    <w:rsid w:val="00454586"/>
    <w:rsid w:val="00454D29"/>
    <w:rsid w:val="004550AA"/>
    <w:rsid w:val="004561FE"/>
    <w:rsid w:val="00457F7D"/>
    <w:rsid w:val="004612C0"/>
    <w:rsid w:val="00464EA5"/>
    <w:rsid w:val="00465765"/>
    <w:rsid w:val="00467531"/>
    <w:rsid w:val="00470EBB"/>
    <w:rsid w:val="004711B9"/>
    <w:rsid w:val="00471FBC"/>
    <w:rsid w:val="00472332"/>
    <w:rsid w:val="00472929"/>
    <w:rsid w:val="0048366B"/>
    <w:rsid w:val="00486DA2"/>
    <w:rsid w:val="00486E41"/>
    <w:rsid w:val="00487652"/>
    <w:rsid w:val="00490FC5"/>
    <w:rsid w:val="00492F59"/>
    <w:rsid w:val="004A15F1"/>
    <w:rsid w:val="004A2970"/>
    <w:rsid w:val="004A2D96"/>
    <w:rsid w:val="004B099F"/>
    <w:rsid w:val="004B16D8"/>
    <w:rsid w:val="004B2DCA"/>
    <w:rsid w:val="004B3A6D"/>
    <w:rsid w:val="004B3DC6"/>
    <w:rsid w:val="004B58FB"/>
    <w:rsid w:val="004B6EEF"/>
    <w:rsid w:val="004C4052"/>
    <w:rsid w:val="004C51CE"/>
    <w:rsid w:val="004D1CAA"/>
    <w:rsid w:val="004D3167"/>
    <w:rsid w:val="004D5A0D"/>
    <w:rsid w:val="004D61BF"/>
    <w:rsid w:val="004F1481"/>
    <w:rsid w:val="004F24B1"/>
    <w:rsid w:val="004F27A7"/>
    <w:rsid w:val="004F457C"/>
    <w:rsid w:val="004F7FB8"/>
    <w:rsid w:val="0050059F"/>
    <w:rsid w:val="005030AC"/>
    <w:rsid w:val="005032CB"/>
    <w:rsid w:val="00510F65"/>
    <w:rsid w:val="005157C4"/>
    <w:rsid w:val="005169EC"/>
    <w:rsid w:val="0051756F"/>
    <w:rsid w:val="005240C8"/>
    <w:rsid w:val="00526CC7"/>
    <w:rsid w:val="0053024B"/>
    <w:rsid w:val="00530C10"/>
    <w:rsid w:val="005354CF"/>
    <w:rsid w:val="00536B75"/>
    <w:rsid w:val="005405A1"/>
    <w:rsid w:val="00543F71"/>
    <w:rsid w:val="00554C35"/>
    <w:rsid w:val="0055569B"/>
    <w:rsid w:val="005668C0"/>
    <w:rsid w:val="00574B81"/>
    <w:rsid w:val="00576F09"/>
    <w:rsid w:val="00577BBE"/>
    <w:rsid w:val="005805EB"/>
    <w:rsid w:val="005809AA"/>
    <w:rsid w:val="005813D0"/>
    <w:rsid w:val="00584BFC"/>
    <w:rsid w:val="005919A0"/>
    <w:rsid w:val="00591B87"/>
    <w:rsid w:val="00592BC7"/>
    <w:rsid w:val="005947FD"/>
    <w:rsid w:val="00596DF8"/>
    <w:rsid w:val="00597147"/>
    <w:rsid w:val="00597CFD"/>
    <w:rsid w:val="005A0236"/>
    <w:rsid w:val="005A3519"/>
    <w:rsid w:val="005A7AFD"/>
    <w:rsid w:val="005B0F84"/>
    <w:rsid w:val="005B1DE6"/>
    <w:rsid w:val="005B3C55"/>
    <w:rsid w:val="005B46C3"/>
    <w:rsid w:val="005B60B0"/>
    <w:rsid w:val="005B786B"/>
    <w:rsid w:val="005C123A"/>
    <w:rsid w:val="005C32FF"/>
    <w:rsid w:val="005C456D"/>
    <w:rsid w:val="005C7758"/>
    <w:rsid w:val="005C7CB5"/>
    <w:rsid w:val="005E5669"/>
    <w:rsid w:val="005F1771"/>
    <w:rsid w:val="005F74FC"/>
    <w:rsid w:val="005F7D42"/>
    <w:rsid w:val="006005FF"/>
    <w:rsid w:val="00600BB6"/>
    <w:rsid w:val="00602FA8"/>
    <w:rsid w:val="0060671B"/>
    <w:rsid w:val="00613B7A"/>
    <w:rsid w:val="0061702C"/>
    <w:rsid w:val="006200E7"/>
    <w:rsid w:val="00621128"/>
    <w:rsid w:val="00621175"/>
    <w:rsid w:val="0062302F"/>
    <w:rsid w:val="00623AF0"/>
    <w:rsid w:val="00624466"/>
    <w:rsid w:val="00624965"/>
    <w:rsid w:val="006266DA"/>
    <w:rsid w:val="00630285"/>
    <w:rsid w:val="00635342"/>
    <w:rsid w:val="0063709C"/>
    <w:rsid w:val="0064030D"/>
    <w:rsid w:val="00640572"/>
    <w:rsid w:val="00641FA4"/>
    <w:rsid w:val="00643333"/>
    <w:rsid w:val="0064548E"/>
    <w:rsid w:val="006505B6"/>
    <w:rsid w:val="00650796"/>
    <w:rsid w:val="00651EAA"/>
    <w:rsid w:val="00653DD9"/>
    <w:rsid w:val="00654109"/>
    <w:rsid w:val="00662189"/>
    <w:rsid w:val="006647D9"/>
    <w:rsid w:val="006726D0"/>
    <w:rsid w:val="006762A4"/>
    <w:rsid w:val="00686103"/>
    <w:rsid w:val="0069151F"/>
    <w:rsid w:val="00691918"/>
    <w:rsid w:val="006A2001"/>
    <w:rsid w:val="006A7047"/>
    <w:rsid w:val="006B3773"/>
    <w:rsid w:val="006B5E02"/>
    <w:rsid w:val="006C052C"/>
    <w:rsid w:val="006C2915"/>
    <w:rsid w:val="006D5C95"/>
    <w:rsid w:val="006F0B47"/>
    <w:rsid w:val="006F4B00"/>
    <w:rsid w:val="0070068F"/>
    <w:rsid w:val="0070180A"/>
    <w:rsid w:val="007200C6"/>
    <w:rsid w:val="00725638"/>
    <w:rsid w:val="007259BA"/>
    <w:rsid w:val="007279DE"/>
    <w:rsid w:val="007279F1"/>
    <w:rsid w:val="00727B8A"/>
    <w:rsid w:val="00735F4B"/>
    <w:rsid w:val="007361B0"/>
    <w:rsid w:val="007419F3"/>
    <w:rsid w:val="00746CD7"/>
    <w:rsid w:val="0074757F"/>
    <w:rsid w:val="00747903"/>
    <w:rsid w:val="007517FE"/>
    <w:rsid w:val="0076152E"/>
    <w:rsid w:val="00766CBB"/>
    <w:rsid w:val="00770A9D"/>
    <w:rsid w:val="00774527"/>
    <w:rsid w:val="00780673"/>
    <w:rsid w:val="00781082"/>
    <w:rsid w:val="00781E6C"/>
    <w:rsid w:val="00784033"/>
    <w:rsid w:val="007867D5"/>
    <w:rsid w:val="00790C08"/>
    <w:rsid w:val="00795657"/>
    <w:rsid w:val="00796B65"/>
    <w:rsid w:val="007971C9"/>
    <w:rsid w:val="00797DD3"/>
    <w:rsid w:val="007A0C79"/>
    <w:rsid w:val="007A1BB2"/>
    <w:rsid w:val="007C07DF"/>
    <w:rsid w:val="007D77AF"/>
    <w:rsid w:val="007E2254"/>
    <w:rsid w:val="007E469E"/>
    <w:rsid w:val="007F1A38"/>
    <w:rsid w:val="007F4540"/>
    <w:rsid w:val="007F5F23"/>
    <w:rsid w:val="00804B8F"/>
    <w:rsid w:val="00805C3A"/>
    <w:rsid w:val="008101CD"/>
    <w:rsid w:val="00817194"/>
    <w:rsid w:val="0082567C"/>
    <w:rsid w:val="00825D8E"/>
    <w:rsid w:val="00827FB4"/>
    <w:rsid w:val="008305E0"/>
    <w:rsid w:val="008362B3"/>
    <w:rsid w:val="00842DE9"/>
    <w:rsid w:val="00845957"/>
    <w:rsid w:val="00845ABE"/>
    <w:rsid w:val="00846A46"/>
    <w:rsid w:val="00852FB2"/>
    <w:rsid w:val="00854339"/>
    <w:rsid w:val="00860D19"/>
    <w:rsid w:val="00862519"/>
    <w:rsid w:val="00867F06"/>
    <w:rsid w:val="008748E9"/>
    <w:rsid w:val="008763B5"/>
    <w:rsid w:val="008874E3"/>
    <w:rsid w:val="00891E2B"/>
    <w:rsid w:val="008926B8"/>
    <w:rsid w:val="00894864"/>
    <w:rsid w:val="00894F9D"/>
    <w:rsid w:val="008A1F8B"/>
    <w:rsid w:val="008A716F"/>
    <w:rsid w:val="008B4A19"/>
    <w:rsid w:val="008C00EE"/>
    <w:rsid w:val="008C2930"/>
    <w:rsid w:val="008C393D"/>
    <w:rsid w:val="008C72A1"/>
    <w:rsid w:val="008D30E5"/>
    <w:rsid w:val="008D413E"/>
    <w:rsid w:val="008D7963"/>
    <w:rsid w:val="008E2D5F"/>
    <w:rsid w:val="008E36CC"/>
    <w:rsid w:val="008E60C5"/>
    <w:rsid w:val="008F174B"/>
    <w:rsid w:val="008F1C3E"/>
    <w:rsid w:val="00900F08"/>
    <w:rsid w:val="00903D93"/>
    <w:rsid w:val="0091674D"/>
    <w:rsid w:val="00926CB7"/>
    <w:rsid w:val="00927089"/>
    <w:rsid w:val="009272CC"/>
    <w:rsid w:val="00930861"/>
    <w:rsid w:val="00946DF9"/>
    <w:rsid w:val="00952C2D"/>
    <w:rsid w:val="00952D0C"/>
    <w:rsid w:val="00956BBC"/>
    <w:rsid w:val="009673CB"/>
    <w:rsid w:val="0097133D"/>
    <w:rsid w:val="0097156D"/>
    <w:rsid w:val="009734FE"/>
    <w:rsid w:val="00980194"/>
    <w:rsid w:val="009836DB"/>
    <w:rsid w:val="009867D9"/>
    <w:rsid w:val="00987853"/>
    <w:rsid w:val="009925A8"/>
    <w:rsid w:val="00996402"/>
    <w:rsid w:val="009979E5"/>
    <w:rsid w:val="009A018B"/>
    <w:rsid w:val="009A0C43"/>
    <w:rsid w:val="009A267B"/>
    <w:rsid w:val="009A54E3"/>
    <w:rsid w:val="009A702F"/>
    <w:rsid w:val="009B702D"/>
    <w:rsid w:val="009C1A50"/>
    <w:rsid w:val="009C1A7F"/>
    <w:rsid w:val="009C2873"/>
    <w:rsid w:val="009C629F"/>
    <w:rsid w:val="009C6954"/>
    <w:rsid w:val="009C794D"/>
    <w:rsid w:val="009D3D23"/>
    <w:rsid w:val="009D4F60"/>
    <w:rsid w:val="009D6FC0"/>
    <w:rsid w:val="009D779D"/>
    <w:rsid w:val="009F0ECE"/>
    <w:rsid w:val="009F1614"/>
    <w:rsid w:val="009F4E02"/>
    <w:rsid w:val="009F77FC"/>
    <w:rsid w:val="00A030EE"/>
    <w:rsid w:val="00A10A66"/>
    <w:rsid w:val="00A1442C"/>
    <w:rsid w:val="00A14CB3"/>
    <w:rsid w:val="00A16785"/>
    <w:rsid w:val="00A21F46"/>
    <w:rsid w:val="00A2345A"/>
    <w:rsid w:val="00A26D19"/>
    <w:rsid w:val="00A2762C"/>
    <w:rsid w:val="00A31C3C"/>
    <w:rsid w:val="00A34397"/>
    <w:rsid w:val="00A37069"/>
    <w:rsid w:val="00A42AC6"/>
    <w:rsid w:val="00A4410C"/>
    <w:rsid w:val="00A44285"/>
    <w:rsid w:val="00A46054"/>
    <w:rsid w:val="00A46398"/>
    <w:rsid w:val="00A53149"/>
    <w:rsid w:val="00A549FA"/>
    <w:rsid w:val="00A5677F"/>
    <w:rsid w:val="00A636A7"/>
    <w:rsid w:val="00A64127"/>
    <w:rsid w:val="00A65079"/>
    <w:rsid w:val="00A678FB"/>
    <w:rsid w:val="00A70244"/>
    <w:rsid w:val="00A714BF"/>
    <w:rsid w:val="00A747E5"/>
    <w:rsid w:val="00A75277"/>
    <w:rsid w:val="00A80F01"/>
    <w:rsid w:val="00A86C0F"/>
    <w:rsid w:val="00A90195"/>
    <w:rsid w:val="00A9243A"/>
    <w:rsid w:val="00A95402"/>
    <w:rsid w:val="00AA77C5"/>
    <w:rsid w:val="00AB3432"/>
    <w:rsid w:val="00AB5162"/>
    <w:rsid w:val="00AC0907"/>
    <w:rsid w:val="00AC6A4D"/>
    <w:rsid w:val="00AD4188"/>
    <w:rsid w:val="00AE006E"/>
    <w:rsid w:val="00AE4296"/>
    <w:rsid w:val="00AF0D77"/>
    <w:rsid w:val="00AF1819"/>
    <w:rsid w:val="00AF1F47"/>
    <w:rsid w:val="00AF422D"/>
    <w:rsid w:val="00AF72B3"/>
    <w:rsid w:val="00B05F28"/>
    <w:rsid w:val="00B10603"/>
    <w:rsid w:val="00B10604"/>
    <w:rsid w:val="00B107B0"/>
    <w:rsid w:val="00B11696"/>
    <w:rsid w:val="00B12661"/>
    <w:rsid w:val="00B2269C"/>
    <w:rsid w:val="00B22701"/>
    <w:rsid w:val="00B23F2D"/>
    <w:rsid w:val="00B2523A"/>
    <w:rsid w:val="00B2598C"/>
    <w:rsid w:val="00B33666"/>
    <w:rsid w:val="00B35581"/>
    <w:rsid w:val="00B46575"/>
    <w:rsid w:val="00B5209F"/>
    <w:rsid w:val="00B53528"/>
    <w:rsid w:val="00B54D18"/>
    <w:rsid w:val="00B56F86"/>
    <w:rsid w:val="00B5738A"/>
    <w:rsid w:val="00B57B95"/>
    <w:rsid w:val="00B65D8F"/>
    <w:rsid w:val="00B733A0"/>
    <w:rsid w:val="00B77E54"/>
    <w:rsid w:val="00B81905"/>
    <w:rsid w:val="00B825F2"/>
    <w:rsid w:val="00B82AF3"/>
    <w:rsid w:val="00B83C76"/>
    <w:rsid w:val="00B84EA9"/>
    <w:rsid w:val="00B90569"/>
    <w:rsid w:val="00B97AEC"/>
    <w:rsid w:val="00BA0D97"/>
    <w:rsid w:val="00BA0DAB"/>
    <w:rsid w:val="00BA132B"/>
    <w:rsid w:val="00BA3DFD"/>
    <w:rsid w:val="00BB318A"/>
    <w:rsid w:val="00BB3F52"/>
    <w:rsid w:val="00BB4411"/>
    <w:rsid w:val="00BC38E5"/>
    <w:rsid w:val="00BC7D0B"/>
    <w:rsid w:val="00BD3C3A"/>
    <w:rsid w:val="00BE51AB"/>
    <w:rsid w:val="00BE5399"/>
    <w:rsid w:val="00BE609B"/>
    <w:rsid w:val="00BE6345"/>
    <w:rsid w:val="00BE71AE"/>
    <w:rsid w:val="00BF4197"/>
    <w:rsid w:val="00BF4249"/>
    <w:rsid w:val="00BF5652"/>
    <w:rsid w:val="00C000F4"/>
    <w:rsid w:val="00C017B0"/>
    <w:rsid w:val="00C02B55"/>
    <w:rsid w:val="00C07852"/>
    <w:rsid w:val="00C10573"/>
    <w:rsid w:val="00C127A8"/>
    <w:rsid w:val="00C1307B"/>
    <w:rsid w:val="00C15D91"/>
    <w:rsid w:val="00C16F83"/>
    <w:rsid w:val="00C17704"/>
    <w:rsid w:val="00C21516"/>
    <w:rsid w:val="00C23CDE"/>
    <w:rsid w:val="00C27B75"/>
    <w:rsid w:val="00C33C27"/>
    <w:rsid w:val="00C340D3"/>
    <w:rsid w:val="00C37143"/>
    <w:rsid w:val="00C3735B"/>
    <w:rsid w:val="00C51C2B"/>
    <w:rsid w:val="00C60B99"/>
    <w:rsid w:val="00C737B4"/>
    <w:rsid w:val="00C74EB9"/>
    <w:rsid w:val="00C77235"/>
    <w:rsid w:val="00C80A30"/>
    <w:rsid w:val="00C82C21"/>
    <w:rsid w:val="00C83807"/>
    <w:rsid w:val="00C847DE"/>
    <w:rsid w:val="00C85A6A"/>
    <w:rsid w:val="00C865A9"/>
    <w:rsid w:val="00C95A8A"/>
    <w:rsid w:val="00CA09AC"/>
    <w:rsid w:val="00CA27CF"/>
    <w:rsid w:val="00CA4C1E"/>
    <w:rsid w:val="00CA4D2C"/>
    <w:rsid w:val="00CA60C6"/>
    <w:rsid w:val="00CB141D"/>
    <w:rsid w:val="00CB14B4"/>
    <w:rsid w:val="00CB1A01"/>
    <w:rsid w:val="00CB1DF5"/>
    <w:rsid w:val="00CB5B2F"/>
    <w:rsid w:val="00CB7858"/>
    <w:rsid w:val="00CD1979"/>
    <w:rsid w:val="00CE192F"/>
    <w:rsid w:val="00CE4369"/>
    <w:rsid w:val="00CE61CC"/>
    <w:rsid w:val="00CF50AB"/>
    <w:rsid w:val="00CF5739"/>
    <w:rsid w:val="00D07BF6"/>
    <w:rsid w:val="00D13D35"/>
    <w:rsid w:val="00D13E13"/>
    <w:rsid w:val="00D2045E"/>
    <w:rsid w:val="00D2176F"/>
    <w:rsid w:val="00D260F6"/>
    <w:rsid w:val="00D3452E"/>
    <w:rsid w:val="00D37AE8"/>
    <w:rsid w:val="00D415E7"/>
    <w:rsid w:val="00D42515"/>
    <w:rsid w:val="00D4335C"/>
    <w:rsid w:val="00D43500"/>
    <w:rsid w:val="00D5706C"/>
    <w:rsid w:val="00D632A6"/>
    <w:rsid w:val="00D70514"/>
    <w:rsid w:val="00D8040E"/>
    <w:rsid w:val="00D8058C"/>
    <w:rsid w:val="00D8175C"/>
    <w:rsid w:val="00D83B76"/>
    <w:rsid w:val="00D90686"/>
    <w:rsid w:val="00DA1896"/>
    <w:rsid w:val="00DA219B"/>
    <w:rsid w:val="00DA326B"/>
    <w:rsid w:val="00DA487E"/>
    <w:rsid w:val="00DA551E"/>
    <w:rsid w:val="00DA590B"/>
    <w:rsid w:val="00DA6E26"/>
    <w:rsid w:val="00DA6EB1"/>
    <w:rsid w:val="00DA7E96"/>
    <w:rsid w:val="00DB0086"/>
    <w:rsid w:val="00DB140D"/>
    <w:rsid w:val="00DB2E03"/>
    <w:rsid w:val="00DB2FBD"/>
    <w:rsid w:val="00DB556E"/>
    <w:rsid w:val="00DB55A7"/>
    <w:rsid w:val="00DB65BB"/>
    <w:rsid w:val="00DC5F6B"/>
    <w:rsid w:val="00DC7D18"/>
    <w:rsid w:val="00DD04B4"/>
    <w:rsid w:val="00DD3B5A"/>
    <w:rsid w:val="00DD3C3F"/>
    <w:rsid w:val="00DD520A"/>
    <w:rsid w:val="00DD52B2"/>
    <w:rsid w:val="00DD6C48"/>
    <w:rsid w:val="00DE6F4E"/>
    <w:rsid w:val="00DF028B"/>
    <w:rsid w:val="00DF12B3"/>
    <w:rsid w:val="00DF1A5F"/>
    <w:rsid w:val="00DF30EA"/>
    <w:rsid w:val="00DF3B1A"/>
    <w:rsid w:val="00DF5F9A"/>
    <w:rsid w:val="00DF72E3"/>
    <w:rsid w:val="00E234BE"/>
    <w:rsid w:val="00E31984"/>
    <w:rsid w:val="00E31AB4"/>
    <w:rsid w:val="00E35489"/>
    <w:rsid w:val="00E406BD"/>
    <w:rsid w:val="00E445E4"/>
    <w:rsid w:val="00E44D66"/>
    <w:rsid w:val="00E456C0"/>
    <w:rsid w:val="00E45B0C"/>
    <w:rsid w:val="00E512F7"/>
    <w:rsid w:val="00E530A7"/>
    <w:rsid w:val="00E6182A"/>
    <w:rsid w:val="00E61EFC"/>
    <w:rsid w:val="00E65AF4"/>
    <w:rsid w:val="00E671D0"/>
    <w:rsid w:val="00E67766"/>
    <w:rsid w:val="00E67C20"/>
    <w:rsid w:val="00E71E60"/>
    <w:rsid w:val="00E7385C"/>
    <w:rsid w:val="00E74899"/>
    <w:rsid w:val="00E753A5"/>
    <w:rsid w:val="00E75D88"/>
    <w:rsid w:val="00E77D1E"/>
    <w:rsid w:val="00E82F4C"/>
    <w:rsid w:val="00E83246"/>
    <w:rsid w:val="00E84472"/>
    <w:rsid w:val="00E922B6"/>
    <w:rsid w:val="00E97861"/>
    <w:rsid w:val="00E97F5D"/>
    <w:rsid w:val="00EA7D3F"/>
    <w:rsid w:val="00EB008B"/>
    <w:rsid w:val="00EB3E0D"/>
    <w:rsid w:val="00EC4BC7"/>
    <w:rsid w:val="00EC7EDF"/>
    <w:rsid w:val="00ED1219"/>
    <w:rsid w:val="00ED4161"/>
    <w:rsid w:val="00EE1A1E"/>
    <w:rsid w:val="00EE7E0D"/>
    <w:rsid w:val="00EF1CEB"/>
    <w:rsid w:val="00EF5E3E"/>
    <w:rsid w:val="00F00266"/>
    <w:rsid w:val="00F00684"/>
    <w:rsid w:val="00F027D3"/>
    <w:rsid w:val="00F055A3"/>
    <w:rsid w:val="00F06541"/>
    <w:rsid w:val="00F10065"/>
    <w:rsid w:val="00F11039"/>
    <w:rsid w:val="00F11CC6"/>
    <w:rsid w:val="00F13092"/>
    <w:rsid w:val="00F15D05"/>
    <w:rsid w:val="00F16FB6"/>
    <w:rsid w:val="00F22DEC"/>
    <w:rsid w:val="00F23E67"/>
    <w:rsid w:val="00F25291"/>
    <w:rsid w:val="00F257C2"/>
    <w:rsid w:val="00F25C7F"/>
    <w:rsid w:val="00F344DD"/>
    <w:rsid w:val="00F40BBA"/>
    <w:rsid w:val="00F4380C"/>
    <w:rsid w:val="00F44228"/>
    <w:rsid w:val="00F44FFF"/>
    <w:rsid w:val="00F45183"/>
    <w:rsid w:val="00F46246"/>
    <w:rsid w:val="00F51AB4"/>
    <w:rsid w:val="00F563F0"/>
    <w:rsid w:val="00F603B0"/>
    <w:rsid w:val="00F6413B"/>
    <w:rsid w:val="00F66D89"/>
    <w:rsid w:val="00F70B4C"/>
    <w:rsid w:val="00F71CA3"/>
    <w:rsid w:val="00F75F45"/>
    <w:rsid w:val="00F76FE6"/>
    <w:rsid w:val="00F8123E"/>
    <w:rsid w:val="00F8323F"/>
    <w:rsid w:val="00F87BC8"/>
    <w:rsid w:val="00F92018"/>
    <w:rsid w:val="00F93C77"/>
    <w:rsid w:val="00F97CC2"/>
    <w:rsid w:val="00FA3B14"/>
    <w:rsid w:val="00FA71CD"/>
    <w:rsid w:val="00FA7A1D"/>
    <w:rsid w:val="00FB02AE"/>
    <w:rsid w:val="00FB0C5A"/>
    <w:rsid w:val="00FB0F60"/>
    <w:rsid w:val="00FB321D"/>
    <w:rsid w:val="00FB509E"/>
    <w:rsid w:val="00FB626F"/>
    <w:rsid w:val="00FB6F64"/>
    <w:rsid w:val="00FC1C1D"/>
    <w:rsid w:val="00FC5808"/>
    <w:rsid w:val="00FC6AB5"/>
    <w:rsid w:val="00FC7193"/>
    <w:rsid w:val="00FD0CF4"/>
    <w:rsid w:val="00FD17A0"/>
    <w:rsid w:val="00FD32B2"/>
    <w:rsid w:val="00FD54B5"/>
    <w:rsid w:val="00FD55B2"/>
    <w:rsid w:val="00FD6AC6"/>
    <w:rsid w:val="00FD6DDA"/>
    <w:rsid w:val="00FE1252"/>
    <w:rsid w:val="00FE152E"/>
    <w:rsid w:val="00FE43CB"/>
    <w:rsid w:val="00FF41D3"/>
    <w:rsid w:val="00FF7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2BF90"/>
  <w15:chartTrackingRefBased/>
  <w15:docId w15:val="{15A50622-4DBE-4B8F-AA2B-0DB63FAB5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hr-HR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709C"/>
  </w:style>
  <w:style w:type="paragraph" w:styleId="Naslov1">
    <w:name w:val="heading 1"/>
    <w:basedOn w:val="Normal"/>
    <w:next w:val="Normal"/>
    <w:link w:val="Naslov1Char"/>
    <w:uiPriority w:val="9"/>
    <w:qFormat/>
    <w:rsid w:val="00000576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00576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000576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000576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000576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000576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00576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0057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0057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23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3E393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227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2701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9A5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A54E3"/>
  </w:style>
  <w:style w:type="paragraph" w:styleId="Podnoje">
    <w:name w:val="footer"/>
    <w:basedOn w:val="Normal"/>
    <w:link w:val="PodnojeChar"/>
    <w:uiPriority w:val="99"/>
    <w:unhideWhenUsed/>
    <w:rsid w:val="009A54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A54E3"/>
  </w:style>
  <w:style w:type="character" w:customStyle="1" w:styleId="Naslov1Char">
    <w:name w:val="Naslov 1 Char"/>
    <w:basedOn w:val="Zadanifontodlomka"/>
    <w:link w:val="Naslov1"/>
    <w:uiPriority w:val="9"/>
    <w:rsid w:val="00000576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slov2Char">
    <w:name w:val="Naslov 2 Char"/>
    <w:basedOn w:val="Zadanifontodlomka"/>
    <w:link w:val="Naslov2"/>
    <w:uiPriority w:val="9"/>
    <w:rsid w:val="00000576"/>
    <w:rPr>
      <w:caps/>
      <w:spacing w:val="15"/>
      <w:shd w:val="clear" w:color="auto" w:fill="DEEAF6" w:themeFill="accent1" w:themeFillTint="33"/>
    </w:rPr>
  </w:style>
  <w:style w:type="numbering" w:customStyle="1" w:styleId="Bezpopisa1">
    <w:name w:val="Bez popisa1"/>
    <w:next w:val="Bezpopisa"/>
    <w:uiPriority w:val="99"/>
    <w:semiHidden/>
    <w:unhideWhenUsed/>
    <w:rsid w:val="00274995"/>
  </w:style>
  <w:style w:type="paragraph" w:styleId="Tijeloteksta">
    <w:name w:val="Body Text"/>
    <w:basedOn w:val="Normal"/>
    <w:link w:val="TijelotekstaChar"/>
    <w:uiPriority w:val="1"/>
    <w:rsid w:val="00274995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</w:rPr>
  </w:style>
  <w:style w:type="character" w:customStyle="1" w:styleId="TijelotekstaChar">
    <w:name w:val="Tijelo teksta Char"/>
    <w:basedOn w:val="Zadanifontodlomka"/>
    <w:link w:val="Tijeloteksta"/>
    <w:uiPriority w:val="1"/>
    <w:rsid w:val="00274995"/>
    <w:rPr>
      <w:rFonts w:ascii="Tahoma" w:eastAsia="Tahoma" w:hAnsi="Tahoma" w:cs="Tahoma"/>
      <w:sz w:val="20"/>
      <w:szCs w:val="20"/>
    </w:rPr>
  </w:style>
  <w:style w:type="paragraph" w:styleId="Naslov">
    <w:name w:val="Title"/>
    <w:basedOn w:val="Normal"/>
    <w:next w:val="Normal"/>
    <w:link w:val="NaslovChar"/>
    <w:uiPriority w:val="10"/>
    <w:qFormat/>
    <w:rsid w:val="00000576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000576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customStyle="1" w:styleId="TableParagraph">
    <w:name w:val="Table Paragraph"/>
    <w:basedOn w:val="Normal"/>
    <w:uiPriority w:val="1"/>
    <w:rsid w:val="00274995"/>
    <w:pPr>
      <w:widowControl w:val="0"/>
      <w:autoSpaceDE w:val="0"/>
      <w:autoSpaceDN w:val="0"/>
      <w:spacing w:before="16" w:after="0" w:line="240" w:lineRule="auto"/>
      <w:jc w:val="right"/>
    </w:pPr>
    <w:rPr>
      <w:rFonts w:ascii="Tahoma" w:eastAsia="Tahoma" w:hAnsi="Tahoma" w:cs="Tahoma"/>
    </w:rPr>
  </w:style>
  <w:style w:type="numbering" w:customStyle="1" w:styleId="NoList1">
    <w:name w:val="No List1"/>
    <w:next w:val="Bezpopisa"/>
    <w:uiPriority w:val="99"/>
    <w:semiHidden/>
    <w:unhideWhenUsed/>
    <w:rsid w:val="00A26D19"/>
  </w:style>
  <w:style w:type="table" w:customStyle="1" w:styleId="TableGrid1">
    <w:name w:val="Table Grid1"/>
    <w:basedOn w:val="Obinatablica"/>
    <w:next w:val="Reetkatablice"/>
    <w:uiPriority w:val="39"/>
    <w:rsid w:val="00A26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1">
    <w:name w:val="No List11"/>
    <w:next w:val="Bezpopisa"/>
    <w:uiPriority w:val="99"/>
    <w:semiHidden/>
    <w:unhideWhenUsed/>
    <w:rsid w:val="00A26D19"/>
  </w:style>
  <w:style w:type="paragraph" w:styleId="TOCNaslov">
    <w:name w:val="TOC Heading"/>
    <w:basedOn w:val="Naslov1"/>
    <w:next w:val="Normal"/>
    <w:uiPriority w:val="39"/>
    <w:unhideWhenUsed/>
    <w:qFormat/>
    <w:rsid w:val="00000576"/>
    <w:pPr>
      <w:outlineLvl w:val="9"/>
    </w:pPr>
  </w:style>
  <w:style w:type="paragraph" w:styleId="Sadraj2">
    <w:name w:val="toc 2"/>
    <w:basedOn w:val="Normal"/>
    <w:next w:val="Normal"/>
    <w:autoRedefine/>
    <w:uiPriority w:val="39"/>
    <w:unhideWhenUsed/>
    <w:rsid w:val="00A2345A"/>
    <w:pPr>
      <w:tabs>
        <w:tab w:val="left" w:pos="709"/>
        <w:tab w:val="right" w:leader="dot" w:pos="10456"/>
      </w:tabs>
      <w:spacing w:before="0" w:after="0"/>
      <w:ind w:left="284"/>
    </w:pPr>
    <w:rPr>
      <w:rFonts w:cs="Times New Roman"/>
      <w:lang w:val="en-US"/>
    </w:rPr>
  </w:style>
  <w:style w:type="paragraph" w:styleId="Sadraj1">
    <w:name w:val="toc 1"/>
    <w:basedOn w:val="Normal"/>
    <w:next w:val="Normal"/>
    <w:autoRedefine/>
    <w:uiPriority w:val="39"/>
    <w:unhideWhenUsed/>
    <w:rsid w:val="00A2345A"/>
    <w:pPr>
      <w:tabs>
        <w:tab w:val="left" w:pos="284"/>
        <w:tab w:val="right" w:leader="dot" w:pos="10456"/>
      </w:tabs>
      <w:spacing w:before="120" w:after="0" w:line="240" w:lineRule="auto"/>
    </w:pPr>
    <w:rPr>
      <w:rFonts w:cs="Times New Roman"/>
      <w:lang w:val="en-US"/>
    </w:rPr>
  </w:style>
  <w:style w:type="paragraph" w:styleId="Sadraj3">
    <w:name w:val="toc 3"/>
    <w:basedOn w:val="Normal"/>
    <w:next w:val="Normal"/>
    <w:autoRedefine/>
    <w:uiPriority w:val="39"/>
    <w:unhideWhenUsed/>
    <w:rsid w:val="00A2345A"/>
    <w:pPr>
      <w:tabs>
        <w:tab w:val="left" w:pos="1418"/>
        <w:tab w:val="right" w:leader="dot" w:pos="10456"/>
      </w:tabs>
      <w:spacing w:before="0" w:after="0"/>
      <w:ind w:left="709"/>
    </w:pPr>
    <w:rPr>
      <w:rFonts w:cs="Times New Roman"/>
      <w:noProof/>
      <w:sz w:val="22"/>
      <w:lang w:val="en-US"/>
    </w:rPr>
  </w:style>
  <w:style w:type="character" w:customStyle="1" w:styleId="Naslov3Char">
    <w:name w:val="Naslov 3 Char"/>
    <w:basedOn w:val="Zadanifontodlomka"/>
    <w:link w:val="Naslov3"/>
    <w:uiPriority w:val="9"/>
    <w:rsid w:val="00000576"/>
    <w:rPr>
      <w:caps/>
      <w:color w:val="1F4D78" w:themeColor="accent1" w:themeShade="7F"/>
      <w:spacing w:val="15"/>
    </w:rPr>
  </w:style>
  <w:style w:type="character" w:customStyle="1" w:styleId="Naslov4Char">
    <w:name w:val="Naslov 4 Char"/>
    <w:basedOn w:val="Zadanifontodlomka"/>
    <w:link w:val="Naslov4"/>
    <w:uiPriority w:val="9"/>
    <w:rsid w:val="00000576"/>
    <w:rPr>
      <w:caps/>
      <w:color w:val="2E74B5" w:themeColor="accent1" w:themeShade="BF"/>
      <w:spacing w:val="10"/>
    </w:rPr>
  </w:style>
  <w:style w:type="character" w:customStyle="1" w:styleId="Naslov5Char">
    <w:name w:val="Naslov 5 Char"/>
    <w:basedOn w:val="Zadanifontodlomka"/>
    <w:link w:val="Naslov5"/>
    <w:uiPriority w:val="9"/>
    <w:rsid w:val="00000576"/>
    <w:rPr>
      <w:caps/>
      <w:color w:val="2E74B5" w:themeColor="accent1" w:themeShade="BF"/>
      <w:spacing w:val="10"/>
    </w:rPr>
  </w:style>
  <w:style w:type="character" w:customStyle="1" w:styleId="Naslov6Char">
    <w:name w:val="Naslov 6 Char"/>
    <w:basedOn w:val="Zadanifontodlomka"/>
    <w:link w:val="Naslov6"/>
    <w:uiPriority w:val="9"/>
    <w:rsid w:val="00000576"/>
    <w:rPr>
      <w:caps/>
      <w:color w:val="2E74B5" w:themeColor="accent1" w:themeShade="BF"/>
      <w:spacing w:val="1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00576"/>
    <w:rPr>
      <w:caps/>
      <w:color w:val="2E74B5" w:themeColor="accent1" w:themeShade="BF"/>
      <w:spacing w:val="1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00576"/>
    <w:rPr>
      <w:caps/>
      <w:spacing w:val="10"/>
      <w:sz w:val="18"/>
      <w:szCs w:val="1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00576"/>
    <w:rPr>
      <w:i/>
      <w:iCs/>
      <w:caps/>
      <w:spacing w:val="10"/>
      <w:sz w:val="18"/>
      <w:szCs w:val="18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000576"/>
    <w:rPr>
      <w:b/>
      <w:bCs/>
      <w:color w:val="2E74B5" w:themeColor="accent1" w:themeShade="BF"/>
      <w:sz w:val="16"/>
      <w:szCs w:val="1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0057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slovChar">
    <w:name w:val="Podnaslov Char"/>
    <w:basedOn w:val="Zadanifontodlomka"/>
    <w:link w:val="Podnaslov"/>
    <w:uiPriority w:val="11"/>
    <w:rsid w:val="00000576"/>
    <w:rPr>
      <w:caps/>
      <w:color w:val="595959" w:themeColor="text1" w:themeTint="A6"/>
      <w:spacing w:val="10"/>
      <w:sz w:val="21"/>
      <w:szCs w:val="21"/>
    </w:rPr>
  </w:style>
  <w:style w:type="character" w:styleId="Naglaeno">
    <w:name w:val="Strong"/>
    <w:uiPriority w:val="22"/>
    <w:qFormat/>
    <w:rsid w:val="00000576"/>
    <w:rPr>
      <w:b/>
      <w:bCs/>
    </w:rPr>
  </w:style>
  <w:style w:type="character" w:styleId="Istaknuto">
    <w:name w:val="Emphasis"/>
    <w:uiPriority w:val="20"/>
    <w:qFormat/>
    <w:rsid w:val="00000576"/>
    <w:rPr>
      <w:caps/>
      <w:color w:val="1F4D78" w:themeColor="accent1" w:themeShade="7F"/>
      <w:spacing w:val="5"/>
    </w:rPr>
  </w:style>
  <w:style w:type="paragraph" w:styleId="Bezproreda">
    <w:name w:val="No Spacing"/>
    <w:uiPriority w:val="1"/>
    <w:qFormat/>
    <w:rsid w:val="00000576"/>
    <w:pPr>
      <w:spacing w:after="0" w:line="240" w:lineRule="auto"/>
    </w:pPr>
  </w:style>
  <w:style w:type="paragraph" w:styleId="Citat">
    <w:name w:val="Quote"/>
    <w:basedOn w:val="Normal"/>
    <w:next w:val="Normal"/>
    <w:link w:val="CitatChar"/>
    <w:uiPriority w:val="29"/>
    <w:qFormat/>
    <w:rsid w:val="00000576"/>
    <w:rPr>
      <w:i/>
      <w:iCs/>
      <w:sz w:val="24"/>
      <w:szCs w:val="24"/>
    </w:rPr>
  </w:style>
  <w:style w:type="character" w:customStyle="1" w:styleId="CitatChar">
    <w:name w:val="Citat Char"/>
    <w:basedOn w:val="Zadanifontodlomka"/>
    <w:link w:val="Citat"/>
    <w:uiPriority w:val="29"/>
    <w:rsid w:val="00000576"/>
    <w:rPr>
      <w:i/>
      <w:iCs/>
      <w:sz w:val="24"/>
      <w:szCs w:val="24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00576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00576"/>
    <w:rPr>
      <w:color w:val="5B9BD5" w:themeColor="accent1"/>
      <w:sz w:val="24"/>
      <w:szCs w:val="24"/>
    </w:rPr>
  </w:style>
  <w:style w:type="character" w:styleId="Neupadljivoisticanje">
    <w:name w:val="Subtle Emphasis"/>
    <w:uiPriority w:val="19"/>
    <w:qFormat/>
    <w:rsid w:val="00000576"/>
    <w:rPr>
      <w:i/>
      <w:iCs/>
      <w:color w:val="1F4D78" w:themeColor="accent1" w:themeShade="7F"/>
    </w:rPr>
  </w:style>
  <w:style w:type="character" w:styleId="Jakoisticanje">
    <w:name w:val="Intense Emphasis"/>
    <w:uiPriority w:val="21"/>
    <w:qFormat/>
    <w:rsid w:val="00000576"/>
    <w:rPr>
      <w:b/>
      <w:bCs/>
      <w:caps/>
      <w:color w:val="1F4D78" w:themeColor="accent1" w:themeShade="7F"/>
      <w:spacing w:val="10"/>
    </w:rPr>
  </w:style>
  <w:style w:type="character" w:styleId="Neupadljivareferenca">
    <w:name w:val="Subtle Reference"/>
    <w:uiPriority w:val="31"/>
    <w:qFormat/>
    <w:rsid w:val="00000576"/>
    <w:rPr>
      <w:b/>
      <w:bCs/>
      <w:color w:val="5B9BD5" w:themeColor="accent1"/>
    </w:rPr>
  </w:style>
  <w:style w:type="character" w:styleId="Istaknutareferenca">
    <w:name w:val="Intense Reference"/>
    <w:uiPriority w:val="32"/>
    <w:qFormat/>
    <w:rsid w:val="00000576"/>
    <w:rPr>
      <w:b/>
      <w:bCs/>
      <w:i/>
      <w:iCs/>
      <w:caps/>
      <w:color w:val="5B9BD5" w:themeColor="accent1"/>
    </w:rPr>
  </w:style>
  <w:style w:type="character" w:styleId="Naslovknjige">
    <w:name w:val="Book Title"/>
    <w:uiPriority w:val="33"/>
    <w:qFormat/>
    <w:rsid w:val="00000576"/>
    <w:rPr>
      <w:b/>
      <w:bCs/>
      <w:i/>
      <w:iCs/>
      <w:spacing w:val="0"/>
    </w:rPr>
  </w:style>
  <w:style w:type="character" w:styleId="Hiperveza">
    <w:name w:val="Hyperlink"/>
    <w:basedOn w:val="Zadanifontodlomka"/>
    <w:uiPriority w:val="99"/>
    <w:unhideWhenUsed/>
    <w:rsid w:val="00781E6C"/>
    <w:rPr>
      <w:color w:val="0563C1" w:themeColor="hyperlink"/>
      <w:u w:val="single"/>
    </w:rPr>
  </w:style>
  <w:style w:type="paragraph" w:customStyle="1" w:styleId="Default">
    <w:name w:val="Default"/>
    <w:rsid w:val="00D13D35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Grid5">
    <w:name w:val="Table Grid5"/>
    <w:basedOn w:val="Obinatablica"/>
    <w:next w:val="Reetkatablice"/>
    <w:uiPriority w:val="39"/>
    <w:rsid w:val="00467531"/>
    <w:pPr>
      <w:spacing w:before="0" w:after="0" w:line="240" w:lineRule="auto"/>
    </w:pPr>
    <w:rPr>
      <w:rFonts w:eastAsia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9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4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5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7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2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4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0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3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2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C56589-640A-435E-9FF6-1347517D4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12</Pages>
  <Words>5336</Words>
  <Characters>30419</Characters>
  <Application>Microsoft Office Word</Application>
  <DocSecurity>0</DocSecurity>
  <Lines>253</Lines>
  <Paragraphs>71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9</cp:revision>
  <cp:lastPrinted>2021-05-11T08:46:00Z</cp:lastPrinted>
  <dcterms:created xsi:type="dcterms:W3CDTF">2025-09-05T11:36:00Z</dcterms:created>
  <dcterms:modified xsi:type="dcterms:W3CDTF">2025-09-22T10:29:00Z</dcterms:modified>
</cp:coreProperties>
</file>